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3767"/>
        <w:gridCol w:w="4840"/>
      </w:tblGrid>
      <w:tr w:rsidR="0000512C" w:rsidRPr="006B6780" w14:paraId="6FBE84B9" w14:textId="77777777" w:rsidTr="00BD3F55">
        <w:trPr>
          <w:trHeight w:val="261"/>
        </w:trPr>
        <w:tc>
          <w:tcPr>
            <w:tcW w:w="3767" w:type="dxa"/>
            <w:shd w:val="clear" w:color="auto" w:fill="auto"/>
            <w:vAlign w:val="center"/>
          </w:tcPr>
          <w:p w14:paraId="2C44B67E" w14:textId="558B250A" w:rsidR="0000512C" w:rsidRPr="00BD3F55" w:rsidRDefault="0000512C" w:rsidP="00FC7ACF">
            <w:pPr>
              <w:pStyle w:val="Heading1"/>
              <w:rPr>
                <w:rStyle w:val="Hyperlink"/>
                <w:sz w:val="18"/>
                <w:szCs w:val="18"/>
              </w:rPr>
            </w:pPr>
            <w:r w:rsidRPr="00BD3F55">
              <w:rPr>
                <w:sz w:val="18"/>
                <w:szCs w:val="18"/>
              </w:rPr>
              <w:t>FOR IMMEDIATE RELEASE</w:t>
            </w:r>
          </w:p>
        </w:tc>
        <w:tc>
          <w:tcPr>
            <w:tcW w:w="4840" w:type="dxa"/>
            <w:shd w:val="clear" w:color="auto" w:fill="auto"/>
            <w:vAlign w:val="center"/>
          </w:tcPr>
          <w:p w14:paraId="6319CC46" w14:textId="77777777" w:rsidR="0000512C" w:rsidRPr="00BD3F55" w:rsidRDefault="0000512C" w:rsidP="00FC7ACF">
            <w:pPr>
              <w:pStyle w:val="Heading1"/>
              <w:rPr>
                <w:sz w:val="18"/>
                <w:szCs w:val="18"/>
              </w:rPr>
            </w:pPr>
            <w:r w:rsidRPr="00BD3F55">
              <w:rPr>
                <w:sz w:val="18"/>
                <w:szCs w:val="18"/>
              </w:rPr>
              <w:t>CONTACT</w:t>
            </w:r>
          </w:p>
        </w:tc>
      </w:tr>
      <w:tr w:rsidR="0000512C" w:rsidRPr="006B6780" w14:paraId="0D4A4324" w14:textId="77777777" w:rsidTr="00BD3F55">
        <w:trPr>
          <w:trHeight w:val="216"/>
        </w:trPr>
        <w:tc>
          <w:tcPr>
            <w:tcW w:w="3767" w:type="dxa"/>
            <w:shd w:val="clear" w:color="auto" w:fill="auto"/>
            <w:vAlign w:val="bottom"/>
          </w:tcPr>
          <w:p w14:paraId="7AF6B19A" w14:textId="1E2E9C15" w:rsidR="0000512C" w:rsidRPr="00BD3F55" w:rsidRDefault="00EA4399" w:rsidP="00FC7ACF">
            <w:pPr>
              <w:rPr>
                <w:sz w:val="18"/>
                <w:szCs w:val="18"/>
              </w:rPr>
            </w:pPr>
            <w:r>
              <w:rPr>
                <w:sz w:val="18"/>
                <w:szCs w:val="18"/>
              </w:rPr>
              <w:t xml:space="preserve">January </w:t>
            </w:r>
            <w:r w:rsidR="00224D2C">
              <w:rPr>
                <w:sz w:val="18"/>
                <w:szCs w:val="18"/>
              </w:rPr>
              <w:t>12</w:t>
            </w:r>
            <w:r w:rsidR="006021B3">
              <w:rPr>
                <w:sz w:val="18"/>
                <w:szCs w:val="18"/>
              </w:rPr>
              <w:t>,</w:t>
            </w:r>
            <w:r w:rsidR="0000512C" w:rsidRPr="00BD3F55">
              <w:rPr>
                <w:sz w:val="18"/>
                <w:szCs w:val="18"/>
              </w:rPr>
              <w:t xml:space="preserve"> 202</w:t>
            </w:r>
            <w:r w:rsidR="00C33E23">
              <w:rPr>
                <w:sz w:val="18"/>
                <w:szCs w:val="18"/>
              </w:rPr>
              <w:t>4</w:t>
            </w:r>
          </w:p>
        </w:tc>
        <w:tc>
          <w:tcPr>
            <w:tcW w:w="4840" w:type="dxa"/>
            <w:shd w:val="clear" w:color="auto" w:fill="auto"/>
            <w:vAlign w:val="bottom"/>
          </w:tcPr>
          <w:p w14:paraId="65085FA6" w14:textId="77777777" w:rsidR="0000512C" w:rsidRPr="00BD3F55" w:rsidRDefault="0000512C" w:rsidP="00FC7ACF">
            <w:pPr>
              <w:rPr>
                <w:sz w:val="18"/>
                <w:szCs w:val="18"/>
              </w:rPr>
            </w:pPr>
            <w:r w:rsidRPr="00BD3F55">
              <w:rPr>
                <w:sz w:val="18"/>
                <w:szCs w:val="18"/>
              </w:rPr>
              <w:t>Renee Brehio, ISMP Public and Media Relations</w:t>
            </w:r>
          </w:p>
        </w:tc>
      </w:tr>
      <w:tr w:rsidR="0000512C" w:rsidRPr="006B6780" w14:paraId="41BD659F" w14:textId="77777777" w:rsidTr="00BD3F55">
        <w:trPr>
          <w:trHeight w:val="60"/>
        </w:trPr>
        <w:tc>
          <w:tcPr>
            <w:tcW w:w="3767" w:type="dxa"/>
            <w:shd w:val="clear" w:color="auto" w:fill="auto"/>
            <w:vAlign w:val="bottom"/>
          </w:tcPr>
          <w:p w14:paraId="74FE7BC4" w14:textId="77777777" w:rsidR="0000512C" w:rsidRPr="00BD3F55" w:rsidRDefault="0000512C" w:rsidP="00FC7ACF">
            <w:pPr>
              <w:rPr>
                <w:sz w:val="18"/>
                <w:szCs w:val="18"/>
              </w:rPr>
            </w:pPr>
          </w:p>
        </w:tc>
        <w:tc>
          <w:tcPr>
            <w:tcW w:w="4840" w:type="dxa"/>
            <w:shd w:val="clear" w:color="auto" w:fill="auto"/>
            <w:vAlign w:val="bottom"/>
          </w:tcPr>
          <w:p w14:paraId="61DEF72D" w14:textId="5ACA0BB8" w:rsidR="0000512C" w:rsidRPr="00BD3F55" w:rsidRDefault="0000512C" w:rsidP="00FC7ACF">
            <w:pPr>
              <w:rPr>
                <w:sz w:val="18"/>
                <w:szCs w:val="18"/>
              </w:rPr>
            </w:pPr>
            <w:r w:rsidRPr="00BD3F55">
              <w:rPr>
                <w:sz w:val="18"/>
                <w:szCs w:val="18"/>
              </w:rPr>
              <w:t>rbrehio@ismp.org • 614-3</w:t>
            </w:r>
            <w:r w:rsidR="00BD3F55">
              <w:rPr>
                <w:sz w:val="18"/>
                <w:szCs w:val="18"/>
              </w:rPr>
              <w:t>01-0833</w:t>
            </w:r>
          </w:p>
        </w:tc>
      </w:tr>
    </w:tbl>
    <w:p w14:paraId="09D34A57" w14:textId="7E1C2F9D" w:rsidR="00440567" w:rsidRPr="00860772" w:rsidRDefault="00440567" w:rsidP="00A37322">
      <w:pPr>
        <w:pStyle w:val="Heading2"/>
        <w:spacing w:before="480"/>
        <w:jc w:val="center"/>
        <w:rPr>
          <w:sz w:val="32"/>
          <w:szCs w:val="32"/>
        </w:rPr>
      </w:pPr>
      <w:r w:rsidRPr="00860772">
        <w:rPr>
          <w:sz w:val="32"/>
          <w:szCs w:val="32"/>
        </w:rPr>
        <w:t xml:space="preserve">ISMP </w:t>
      </w:r>
      <w:r w:rsidR="00EA4399">
        <w:rPr>
          <w:sz w:val="32"/>
          <w:szCs w:val="32"/>
        </w:rPr>
        <w:t>Updates High-Alert Medication List</w:t>
      </w:r>
    </w:p>
    <w:p w14:paraId="689757B3" w14:textId="558FB150" w:rsidR="004A4A58" w:rsidRPr="00AC0B4E" w:rsidRDefault="00EA4399" w:rsidP="00AC0B4E">
      <w:pPr>
        <w:jc w:val="center"/>
        <w:rPr>
          <w:i/>
          <w:iCs/>
        </w:rPr>
      </w:pPr>
      <w:r>
        <w:rPr>
          <w:i/>
          <w:iCs/>
        </w:rPr>
        <w:t>Change</w:t>
      </w:r>
      <w:r w:rsidR="00B628DD">
        <w:rPr>
          <w:i/>
          <w:iCs/>
        </w:rPr>
        <w:t>s</w:t>
      </w:r>
      <w:r>
        <w:rPr>
          <w:i/>
          <w:iCs/>
        </w:rPr>
        <w:t xml:space="preserve"> Include Addition of Tranexamic Acid Injection</w:t>
      </w:r>
    </w:p>
    <w:p w14:paraId="3BB25F81" w14:textId="77777777" w:rsidR="002548E0" w:rsidRPr="004A4A58" w:rsidRDefault="002548E0" w:rsidP="004A4A58"/>
    <w:p w14:paraId="77374F22" w14:textId="77777777" w:rsidR="00A37322" w:rsidRDefault="00440567" w:rsidP="00440567">
      <w:pPr>
        <w:rPr>
          <w:rFonts w:cs="Arial"/>
          <w:sz w:val="19"/>
          <w:szCs w:val="19"/>
        </w:rPr>
      </w:pPr>
      <w:r w:rsidRPr="00860772">
        <w:rPr>
          <w:b/>
          <w:bCs/>
          <w:sz w:val="19"/>
          <w:szCs w:val="19"/>
        </w:rPr>
        <w:t>Plymouth Meeting, Pa.</w:t>
      </w:r>
      <w:r w:rsidRPr="00860772">
        <w:rPr>
          <w:sz w:val="19"/>
          <w:szCs w:val="19"/>
        </w:rPr>
        <w:t xml:space="preserve"> –The </w:t>
      </w:r>
      <w:r w:rsidRPr="00860772">
        <w:rPr>
          <w:rFonts w:cs="Arial"/>
          <w:sz w:val="19"/>
          <w:szCs w:val="19"/>
        </w:rPr>
        <w:t xml:space="preserve">Institute for Safe Medication Practices (ISMP) </w:t>
      </w:r>
      <w:r w:rsidR="00EA4399">
        <w:rPr>
          <w:rFonts w:cs="Arial"/>
          <w:sz w:val="19"/>
          <w:szCs w:val="19"/>
        </w:rPr>
        <w:t xml:space="preserve">has published a 2024 version of its high-alert medication list, which includes input from safety experts and a national survey. The main </w:t>
      </w:r>
      <w:r w:rsidR="00A37322">
        <w:rPr>
          <w:rFonts w:cs="Arial"/>
          <w:sz w:val="19"/>
          <w:szCs w:val="19"/>
        </w:rPr>
        <w:t xml:space="preserve">addition to the list is the inclusion of tranexamic acid injection, an antifibrinolytic that is used in a variety of hemorrhagic conditions to control bleeding, including postpartum hemorrhage. </w:t>
      </w:r>
    </w:p>
    <w:p w14:paraId="361DDC81" w14:textId="77777777" w:rsidR="00A37322" w:rsidRDefault="00A37322" w:rsidP="00440567">
      <w:pPr>
        <w:rPr>
          <w:rFonts w:cs="Arial"/>
          <w:sz w:val="19"/>
          <w:szCs w:val="19"/>
        </w:rPr>
      </w:pPr>
    </w:p>
    <w:p w14:paraId="65710C44" w14:textId="160F5FA6" w:rsidR="00A37322" w:rsidRDefault="00A37322" w:rsidP="00440567">
      <w:pPr>
        <w:rPr>
          <w:rFonts w:cs="Arial"/>
          <w:sz w:val="19"/>
          <w:szCs w:val="19"/>
        </w:rPr>
      </w:pPr>
      <w:r>
        <w:rPr>
          <w:rFonts w:cs="Arial"/>
          <w:sz w:val="19"/>
          <w:szCs w:val="19"/>
        </w:rPr>
        <w:t xml:space="preserve">ISMP published its first </w:t>
      </w:r>
      <w:r w:rsidR="007039C2">
        <w:rPr>
          <w:rFonts w:cs="Arial"/>
          <w:sz w:val="19"/>
          <w:szCs w:val="19"/>
        </w:rPr>
        <w:t xml:space="preserve">compilation </w:t>
      </w:r>
      <w:r>
        <w:rPr>
          <w:rFonts w:cs="Arial"/>
          <w:sz w:val="19"/>
          <w:szCs w:val="19"/>
        </w:rPr>
        <w:t>of</w:t>
      </w:r>
      <w:r w:rsidR="007039C2">
        <w:rPr>
          <w:rFonts w:cs="Arial"/>
          <w:sz w:val="19"/>
          <w:szCs w:val="19"/>
        </w:rPr>
        <w:t xml:space="preserve"> six</w:t>
      </w:r>
      <w:r>
        <w:rPr>
          <w:rFonts w:cs="Arial"/>
          <w:sz w:val="19"/>
          <w:szCs w:val="19"/>
        </w:rPr>
        <w:t xml:space="preserve"> “</w:t>
      </w:r>
      <w:proofErr w:type="gramStart"/>
      <w:r>
        <w:rPr>
          <w:rFonts w:cs="Arial"/>
          <w:sz w:val="19"/>
          <w:szCs w:val="19"/>
        </w:rPr>
        <w:t>high-alert</w:t>
      </w:r>
      <w:proofErr w:type="gramEnd"/>
      <w:r>
        <w:rPr>
          <w:rFonts w:cs="Arial"/>
          <w:sz w:val="19"/>
          <w:szCs w:val="19"/>
        </w:rPr>
        <w:t xml:space="preserve">” medications in 1989, and </w:t>
      </w:r>
      <w:r w:rsidR="007039C2">
        <w:rPr>
          <w:rFonts w:cs="Arial"/>
          <w:sz w:val="19"/>
          <w:szCs w:val="19"/>
        </w:rPr>
        <w:t>those drugs</w:t>
      </w:r>
      <w:r>
        <w:rPr>
          <w:rFonts w:cs="Arial"/>
          <w:sz w:val="19"/>
          <w:szCs w:val="19"/>
        </w:rPr>
        <w:t xml:space="preserve"> are still on ISMP’s list today. High-alert medications </w:t>
      </w:r>
      <w:r w:rsidR="00F343A7">
        <w:rPr>
          <w:rFonts w:cs="Arial"/>
          <w:sz w:val="19"/>
          <w:szCs w:val="19"/>
        </w:rPr>
        <w:t xml:space="preserve">are defined as those that </w:t>
      </w:r>
      <w:r w:rsidR="007039C2">
        <w:rPr>
          <w:rFonts w:cs="Arial"/>
          <w:sz w:val="19"/>
          <w:szCs w:val="19"/>
        </w:rPr>
        <w:t xml:space="preserve">bear a heightened risk of causing significant patient harm when they are used in error. Although mistakes may or may not be more common with these drugs, the consequences of an error </w:t>
      </w:r>
      <w:r w:rsidR="00637F30">
        <w:rPr>
          <w:rFonts w:cs="Arial"/>
          <w:sz w:val="19"/>
          <w:szCs w:val="19"/>
        </w:rPr>
        <w:t xml:space="preserve">involving them </w:t>
      </w:r>
      <w:r w:rsidR="007039C2">
        <w:rPr>
          <w:rFonts w:cs="Arial"/>
          <w:sz w:val="19"/>
          <w:szCs w:val="19"/>
        </w:rPr>
        <w:t>may be more devastating to patients</w:t>
      </w:r>
      <w:r>
        <w:rPr>
          <w:rFonts w:cs="Arial"/>
          <w:sz w:val="19"/>
          <w:szCs w:val="19"/>
        </w:rPr>
        <w:t xml:space="preserve">. </w:t>
      </w:r>
    </w:p>
    <w:p w14:paraId="7191C161" w14:textId="77777777" w:rsidR="00A37322" w:rsidRDefault="00A37322" w:rsidP="00440567">
      <w:pPr>
        <w:rPr>
          <w:rFonts w:cs="Arial"/>
          <w:sz w:val="19"/>
          <w:szCs w:val="19"/>
        </w:rPr>
      </w:pPr>
    </w:p>
    <w:p w14:paraId="6D9A4A03" w14:textId="073606CF" w:rsidR="00C75C16" w:rsidRDefault="00A37322" w:rsidP="00440567">
      <w:pPr>
        <w:rPr>
          <w:rFonts w:cs="Arial"/>
          <w:sz w:val="19"/>
          <w:szCs w:val="19"/>
        </w:rPr>
      </w:pPr>
      <w:r w:rsidRPr="00224D2C">
        <w:rPr>
          <w:rFonts w:cs="Arial"/>
          <w:sz w:val="19"/>
          <w:szCs w:val="19"/>
        </w:rPr>
        <w:t xml:space="preserve">“Respondents to ISMP’s 2023 survey indicated a higher level of recognition that some medications such as potassium phosphate for injection and oxytocin are considered </w:t>
      </w:r>
      <w:r w:rsidR="00637F30" w:rsidRPr="00224D2C">
        <w:rPr>
          <w:rFonts w:cs="Arial"/>
          <w:sz w:val="19"/>
          <w:szCs w:val="19"/>
        </w:rPr>
        <w:t xml:space="preserve">to be </w:t>
      </w:r>
      <w:r w:rsidRPr="00224D2C">
        <w:rPr>
          <w:rFonts w:cs="Arial"/>
          <w:sz w:val="19"/>
          <w:szCs w:val="19"/>
        </w:rPr>
        <w:t xml:space="preserve">high alert,” says </w:t>
      </w:r>
      <w:r w:rsidR="006A174A" w:rsidRPr="00224D2C">
        <w:rPr>
          <w:rFonts w:cs="Arial"/>
          <w:sz w:val="19"/>
          <w:szCs w:val="19"/>
        </w:rPr>
        <w:t xml:space="preserve">Shannon Bertagnoli, PharmD, </w:t>
      </w:r>
      <w:r w:rsidR="00E34B90">
        <w:rPr>
          <w:rFonts w:cs="Arial"/>
          <w:sz w:val="19"/>
          <w:szCs w:val="19"/>
        </w:rPr>
        <w:t>ISMP M</w:t>
      </w:r>
      <w:r w:rsidR="006A174A" w:rsidRPr="00224D2C">
        <w:rPr>
          <w:rFonts w:cs="Arial"/>
          <w:sz w:val="19"/>
          <w:szCs w:val="19"/>
        </w:rPr>
        <w:t xml:space="preserve">edication </w:t>
      </w:r>
      <w:r w:rsidR="00E34B90">
        <w:rPr>
          <w:rFonts w:cs="Arial"/>
          <w:sz w:val="19"/>
          <w:szCs w:val="19"/>
        </w:rPr>
        <w:t>S</w:t>
      </w:r>
      <w:r w:rsidR="006A174A" w:rsidRPr="00224D2C">
        <w:rPr>
          <w:rFonts w:cs="Arial"/>
          <w:sz w:val="19"/>
          <w:szCs w:val="19"/>
        </w:rPr>
        <w:t xml:space="preserve">afety </w:t>
      </w:r>
      <w:r w:rsidR="00E34B90">
        <w:rPr>
          <w:rFonts w:cs="Arial"/>
          <w:sz w:val="19"/>
          <w:szCs w:val="19"/>
        </w:rPr>
        <w:t>S</w:t>
      </w:r>
      <w:r w:rsidR="006A174A" w:rsidRPr="00224D2C">
        <w:rPr>
          <w:rFonts w:cs="Arial"/>
          <w:sz w:val="19"/>
          <w:szCs w:val="19"/>
        </w:rPr>
        <w:t xml:space="preserve">pecialist, </w:t>
      </w:r>
      <w:r w:rsidR="00E34B90">
        <w:rPr>
          <w:rFonts w:cs="Arial"/>
          <w:sz w:val="19"/>
          <w:szCs w:val="19"/>
        </w:rPr>
        <w:t>P</w:t>
      </w:r>
      <w:r w:rsidR="006A174A" w:rsidRPr="00224D2C">
        <w:rPr>
          <w:rFonts w:cs="Arial"/>
          <w:sz w:val="19"/>
          <w:szCs w:val="19"/>
        </w:rPr>
        <w:t xml:space="preserve">ublications. </w:t>
      </w:r>
      <w:r w:rsidRPr="00224D2C">
        <w:rPr>
          <w:rFonts w:cs="Arial"/>
          <w:sz w:val="19"/>
          <w:szCs w:val="19"/>
        </w:rPr>
        <w:t>“We are pleased to see that</w:t>
      </w:r>
      <w:r w:rsidR="00637F30" w:rsidRPr="00224D2C">
        <w:rPr>
          <w:rFonts w:cs="Arial"/>
          <w:sz w:val="19"/>
          <w:szCs w:val="19"/>
        </w:rPr>
        <w:t xml:space="preserve"> increasing level of</w:t>
      </w:r>
      <w:r w:rsidRPr="00224D2C">
        <w:rPr>
          <w:rFonts w:cs="Arial"/>
          <w:sz w:val="19"/>
          <w:szCs w:val="19"/>
        </w:rPr>
        <w:t xml:space="preserve"> awareness of </w:t>
      </w:r>
      <w:r w:rsidR="00637F30" w:rsidRPr="00224D2C">
        <w:rPr>
          <w:rFonts w:cs="Arial"/>
          <w:sz w:val="19"/>
          <w:szCs w:val="19"/>
        </w:rPr>
        <w:t>high-alert status, since knowledge of</w:t>
      </w:r>
      <w:r w:rsidRPr="00224D2C">
        <w:rPr>
          <w:rFonts w:cs="Arial"/>
          <w:sz w:val="19"/>
          <w:szCs w:val="19"/>
        </w:rPr>
        <w:t xml:space="preserve"> risk</w:t>
      </w:r>
      <w:r w:rsidR="004D7540" w:rsidRPr="00224D2C">
        <w:rPr>
          <w:rFonts w:cs="Arial"/>
          <w:sz w:val="19"/>
          <w:szCs w:val="19"/>
        </w:rPr>
        <w:t xml:space="preserve"> and implementing safeguards</w:t>
      </w:r>
      <w:r w:rsidRPr="00224D2C">
        <w:rPr>
          <w:rFonts w:cs="Arial"/>
          <w:sz w:val="19"/>
          <w:szCs w:val="19"/>
        </w:rPr>
        <w:t xml:space="preserve"> can help prevent potentially fatal errors.”</w:t>
      </w:r>
    </w:p>
    <w:p w14:paraId="1A0C98FE" w14:textId="77777777" w:rsidR="00C75C16" w:rsidRDefault="00C75C16" w:rsidP="00440567">
      <w:pPr>
        <w:rPr>
          <w:rFonts w:cs="Arial"/>
          <w:sz w:val="19"/>
          <w:szCs w:val="19"/>
        </w:rPr>
      </w:pPr>
    </w:p>
    <w:p w14:paraId="43015261" w14:textId="6D9B062C" w:rsidR="00A37322" w:rsidRDefault="00A37322" w:rsidP="00440567">
      <w:pPr>
        <w:rPr>
          <w:rFonts w:cs="Arial"/>
          <w:sz w:val="19"/>
          <w:szCs w:val="19"/>
        </w:rPr>
      </w:pPr>
      <w:r>
        <w:rPr>
          <w:rFonts w:cs="Arial"/>
          <w:sz w:val="19"/>
          <w:szCs w:val="19"/>
        </w:rPr>
        <w:t xml:space="preserve">Survey respondents shared that errors </w:t>
      </w:r>
      <w:r w:rsidR="001F12F1">
        <w:rPr>
          <w:rFonts w:cs="Arial"/>
          <w:sz w:val="19"/>
          <w:szCs w:val="19"/>
        </w:rPr>
        <w:t xml:space="preserve">involving tranexamic acid for injection </w:t>
      </w:r>
      <w:r>
        <w:rPr>
          <w:rFonts w:cs="Arial"/>
          <w:sz w:val="19"/>
          <w:szCs w:val="19"/>
        </w:rPr>
        <w:t xml:space="preserve">are </w:t>
      </w:r>
      <w:r w:rsidR="001F12F1">
        <w:rPr>
          <w:rFonts w:cs="Arial"/>
          <w:sz w:val="19"/>
          <w:szCs w:val="19"/>
        </w:rPr>
        <w:t>frequently</w:t>
      </w:r>
      <w:r>
        <w:rPr>
          <w:rFonts w:cs="Arial"/>
          <w:sz w:val="19"/>
          <w:szCs w:val="19"/>
        </w:rPr>
        <w:t xml:space="preserve"> related to storage issues and mix-ups with look-alike medication vials, most often anesthetics that are also commonly stored in surgical and procedural locations. When accidentally administered via a neuraxial route, tranexamic acid injection is a potent neurotoxin with a mortality rate of about 50%, and almost always harmful to the patient. </w:t>
      </w:r>
    </w:p>
    <w:p w14:paraId="574A0B14" w14:textId="77777777" w:rsidR="00A37322" w:rsidRDefault="00A37322" w:rsidP="00440567">
      <w:pPr>
        <w:rPr>
          <w:rFonts w:cs="Arial"/>
          <w:sz w:val="19"/>
          <w:szCs w:val="19"/>
        </w:rPr>
      </w:pPr>
    </w:p>
    <w:p w14:paraId="3591AFB8" w14:textId="3607ECA4" w:rsidR="00A37322" w:rsidRPr="00DF2612" w:rsidRDefault="00A37322" w:rsidP="00440567">
      <w:pPr>
        <w:rPr>
          <w:rFonts w:cs="Arial"/>
          <w:sz w:val="19"/>
          <w:szCs w:val="19"/>
        </w:rPr>
      </w:pPr>
      <w:r w:rsidRPr="00DF2612">
        <w:rPr>
          <w:rFonts w:cs="Arial"/>
          <w:sz w:val="19"/>
          <w:szCs w:val="19"/>
        </w:rPr>
        <w:t xml:space="preserve">ISMP has repeatedly warned about errors with tranexamic acid, including publishing a feature article in the </w:t>
      </w:r>
      <w:r w:rsidRPr="007F7FD8">
        <w:rPr>
          <w:rFonts w:cs="Arial"/>
          <w:i/>
          <w:iCs/>
          <w:sz w:val="19"/>
          <w:szCs w:val="19"/>
        </w:rPr>
        <w:t>ISMP Medication Safety Alert!</w:t>
      </w:r>
      <w:r w:rsidRPr="007F7FD8">
        <w:rPr>
          <w:rFonts w:cs="Arial"/>
          <w:sz w:val="19"/>
          <w:szCs w:val="19"/>
        </w:rPr>
        <w:t xml:space="preserve"> Acute Care</w:t>
      </w:r>
      <w:r w:rsidRPr="00DF2612">
        <w:rPr>
          <w:rFonts w:cs="Arial"/>
          <w:sz w:val="19"/>
          <w:szCs w:val="19"/>
        </w:rPr>
        <w:t xml:space="preserve"> </w:t>
      </w:r>
      <w:r w:rsidR="00DF2612" w:rsidRPr="00DF2612">
        <w:rPr>
          <w:rFonts w:cs="Arial"/>
          <w:sz w:val="19"/>
          <w:szCs w:val="19"/>
        </w:rPr>
        <w:t>n</w:t>
      </w:r>
      <w:r w:rsidRPr="00DF2612">
        <w:rPr>
          <w:rFonts w:cs="Arial"/>
          <w:sz w:val="19"/>
          <w:szCs w:val="19"/>
        </w:rPr>
        <w:t>ewsletter (</w:t>
      </w:r>
      <w:hyperlink r:id="rId10" w:history="1">
        <w:r w:rsidR="00DF2612" w:rsidRPr="00DF2612">
          <w:rPr>
            <w:rFonts w:eastAsia="Calibri" w:cs="Arial"/>
            <w:color w:val="0563C1"/>
            <w:sz w:val="19"/>
            <w:szCs w:val="19"/>
            <w:u w:val="single"/>
          </w:rPr>
          <w:t>www.ismp.org/node/8706</w:t>
        </w:r>
      </w:hyperlink>
      <w:r w:rsidRPr="00DF2612">
        <w:rPr>
          <w:rFonts w:cs="Arial"/>
          <w:sz w:val="19"/>
          <w:szCs w:val="19"/>
        </w:rPr>
        <w:t>) and issuing a National Alert Network (NAN) warning (</w:t>
      </w:r>
      <w:hyperlink r:id="rId11" w:history="1">
        <w:r w:rsidR="00D31BC3" w:rsidRPr="00D31BC3">
          <w:rPr>
            <w:rFonts w:eastAsia="Calibri" w:cs="Arial"/>
            <w:color w:val="0563C1"/>
            <w:sz w:val="19"/>
            <w:szCs w:val="19"/>
            <w:u w:val="single"/>
          </w:rPr>
          <w:t>www.ismp.org/node/20154</w:t>
        </w:r>
      </w:hyperlink>
      <w:r w:rsidRPr="00DF2612">
        <w:rPr>
          <w:rFonts w:cs="Arial"/>
          <w:sz w:val="19"/>
          <w:szCs w:val="19"/>
        </w:rPr>
        <w:t xml:space="preserve">). </w:t>
      </w:r>
    </w:p>
    <w:p w14:paraId="01BBE45E" w14:textId="77777777" w:rsidR="00A37322" w:rsidRDefault="00A37322" w:rsidP="00440567">
      <w:pPr>
        <w:rPr>
          <w:rFonts w:cs="Arial"/>
          <w:sz w:val="19"/>
          <w:szCs w:val="19"/>
        </w:rPr>
      </w:pPr>
    </w:p>
    <w:p w14:paraId="1AFD926B" w14:textId="6ED642D7" w:rsidR="00A37322" w:rsidRDefault="00A37322" w:rsidP="00440567">
      <w:pPr>
        <w:rPr>
          <w:rFonts w:cs="Arial"/>
          <w:sz w:val="19"/>
          <w:szCs w:val="19"/>
        </w:rPr>
      </w:pPr>
      <w:r>
        <w:rPr>
          <w:rFonts w:cs="Arial"/>
          <w:sz w:val="19"/>
          <w:szCs w:val="19"/>
        </w:rPr>
        <w:t xml:space="preserve">For a copy of </w:t>
      </w:r>
      <w:r w:rsidR="00693AFD" w:rsidRPr="00693AFD">
        <w:rPr>
          <w:rStyle w:val="Emphasis"/>
          <w:rFonts w:cs="Arial"/>
          <w:i w:val="0"/>
          <w:iCs w:val="0"/>
          <w:color w:val="141414"/>
          <w:spacing w:val="2"/>
          <w:sz w:val="19"/>
          <w:szCs w:val="19"/>
          <w:shd w:val="clear" w:color="auto" w:fill="FFFFFF"/>
        </w:rPr>
        <w:t>the 2024</w:t>
      </w:r>
      <w:r w:rsidR="00693AFD" w:rsidRPr="00693AFD">
        <w:rPr>
          <w:rStyle w:val="Emphasis"/>
          <w:rFonts w:cs="Arial"/>
          <w:color w:val="141414"/>
          <w:spacing w:val="2"/>
          <w:sz w:val="19"/>
          <w:szCs w:val="19"/>
          <w:shd w:val="clear" w:color="auto" w:fill="FFFFFF"/>
        </w:rPr>
        <w:t xml:space="preserve"> List of High-Alert Medications in Acute Care Settings</w:t>
      </w:r>
      <w:r>
        <w:rPr>
          <w:rFonts w:cs="Arial"/>
          <w:sz w:val="19"/>
          <w:szCs w:val="19"/>
        </w:rPr>
        <w:t>, visit</w:t>
      </w:r>
      <w:r w:rsidR="00CC00C6">
        <w:rPr>
          <w:rFonts w:cs="Arial"/>
          <w:sz w:val="19"/>
          <w:szCs w:val="19"/>
        </w:rPr>
        <w:t xml:space="preserve"> ISMP’s website at</w:t>
      </w:r>
      <w:r>
        <w:rPr>
          <w:rFonts w:cs="Arial"/>
          <w:sz w:val="19"/>
          <w:szCs w:val="19"/>
        </w:rPr>
        <w:t>:</w:t>
      </w:r>
      <w:r w:rsidR="00CC00C6">
        <w:rPr>
          <w:rFonts w:cs="Arial"/>
          <w:sz w:val="19"/>
          <w:szCs w:val="19"/>
        </w:rPr>
        <w:t xml:space="preserve"> </w:t>
      </w:r>
      <w:hyperlink r:id="rId12" w:history="1">
        <w:r w:rsidR="00CC00C6" w:rsidRPr="00CC00C6">
          <w:rPr>
            <w:rFonts w:eastAsia="Calibri" w:cs="Arial"/>
            <w:color w:val="0563C1"/>
            <w:sz w:val="19"/>
            <w:szCs w:val="19"/>
            <w:u w:val="single"/>
          </w:rPr>
          <w:t>www.ismp.org/node/103</w:t>
        </w:r>
      </w:hyperlink>
    </w:p>
    <w:p w14:paraId="24F5AD6A" w14:textId="1FE3C7E2" w:rsidR="00EA4399" w:rsidRPr="00860772" w:rsidRDefault="00EA4399" w:rsidP="00440567">
      <w:pPr>
        <w:rPr>
          <w:rFonts w:cs="Arial"/>
          <w:sz w:val="19"/>
          <w:szCs w:val="19"/>
        </w:rPr>
      </w:pPr>
      <w:r>
        <w:rPr>
          <w:rFonts w:cs="Arial"/>
          <w:sz w:val="19"/>
          <w:szCs w:val="19"/>
        </w:rPr>
        <w:t xml:space="preserve"> </w:t>
      </w:r>
    </w:p>
    <w:p w14:paraId="61ABEB1F" w14:textId="77777777" w:rsidR="00276C53" w:rsidRDefault="00276C53" w:rsidP="00440567">
      <w:pPr>
        <w:pStyle w:val="NormalWeb"/>
        <w:spacing w:before="0" w:beforeAutospacing="0" w:after="0" w:afterAutospacing="0"/>
        <w:rPr>
          <w:b/>
          <w:bCs/>
          <w:color w:val="000000"/>
          <w:spacing w:val="2"/>
          <w:sz w:val="16"/>
          <w:szCs w:val="16"/>
          <w:shd w:val="clear" w:color="auto" w:fill="FFFFFF"/>
        </w:rPr>
      </w:pPr>
    </w:p>
    <w:p w14:paraId="4CA5C9C3" w14:textId="6E9EEB0B" w:rsidR="00440567" w:rsidRPr="00860772" w:rsidRDefault="00440567" w:rsidP="00440567">
      <w:pPr>
        <w:pStyle w:val="NormalWeb"/>
        <w:spacing w:before="0" w:beforeAutospacing="0" w:after="0" w:afterAutospacing="0"/>
        <w:rPr>
          <w:b/>
          <w:bCs/>
          <w:color w:val="000000"/>
          <w:spacing w:val="2"/>
          <w:sz w:val="16"/>
          <w:szCs w:val="16"/>
          <w:shd w:val="clear" w:color="auto" w:fill="FFFFFF"/>
        </w:rPr>
      </w:pPr>
      <w:r w:rsidRPr="00860772">
        <w:rPr>
          <w:b/>
          <w:bCs/>
          <w:color w:val="000000"/>
          <w:spacing w:val="2"/>
          <w:sz w:val="16"/>
          <w:szCs w:val="16"/>
          <w:shd w:val="clear" w:color="auto" w:fill="FFFFFF"/>
        </w:rPr>
        <w:t>About the Institute for Safe Medication Practices</w:t>
      </w:r>
    </w:p>
    <w:p w14:paraId="0F3A1D14" w14:textId="7ACA26EE" w:rsidR="00440567" w:rsidRPr="00860772" w:rsidRDefault="00440567" w:rsidP="00440567">
      <w:pPr>
        <w:pStyle w:val="NormalWeb"/>
        <w:shd w:val="clear" w:color="auto" w:fill="FFFFFF"/>
        <w:spacing w:before="0" w:beforeAutospacing="0" w:after="0" w:afterAutospacing="0"/>
        <w:rPr>
          <w:color w:val="141414"/>
          <w:sz w:val="16"/>
          <w:szCs w:val="16"/>
        </w:rPr>
      </w:pPr>
      <w:r w:rsidRPr="00860772">
        <w:rPr>
          <w:color w:val="000000"/>
          <w:spacing w:val="2"/>
          <w:sz w:val="16"/>
          <w:szCs w:val="16"/>
          <w:shd w:val="clear" w:color="auto" w:fill="FFFFFF"/>
        </w:rPr>
        <w:t xml:space="preserve">The Institute for Safe Medication Practices (ISMP) is the nation’s first 501c (3) nonprofit organization devoted entirely to preventing medication errors. </w:t>
      </w:r>
      <w:r w:rsidRPr="00860772">
        <w:rPr>
          <w:color w:val="141414"/>
          <w:sz w:val="16"/>
          <w:szCs w:val="16"/>
        </w:rPr>
        <w:t xml:space="preserve">ISMP is known and respected for its medication safety information. For more than </w:t>
      </w:r>
      <w:r w:rsidR="00224D2C">
        <w:rPr>
          <w:color w:val="141414"/>
          <w:sz w:val="16"/>
          <w:szCs w:val="16"/>
        </w:rPr>
        <w:t>30</w:t>
      </w:r>
      <w:r w:rsidRPr="00860772">
        <w:rPr>
          <w:color w:val="141414"/>
          <w:sz w:val="16"/>
          <w:szCs w:val="16"/>
        </w:rPr>
        <w:t xml:space="preserve">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3" w:history="1">
        <w:r w:rsidRPr="00860772">
          <w:rPr>
            <w:rStyle w:val="Hyperlink"/>
            <w:sz w:val="16"/>
            <w:szCs w:val="16"/>
          </w:rPr>
          <w:t>www.ismp.org</w:t>
        </w:r>
      </w:hyperlink>
      <w:r w:rsidRPr="00860772">
        <w:rPr>
          <w:color w:val="141414"/>
          <w:sz w:val="16"/>
          <w:szCs w:val="16"/>
        </w:rPr>
        <w:t xml:space="preserve"> and follow @ismp_org to learn more. </w:t>
      </w:r>
    </w:p>
    <w:sectPr w:rsidR="00440567" w:rsidRPr="00860772" w:rsidSect="00297397">
      <w:headerReference w:type="default" r:id="rId14"/>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A866" w14:textId="77777777" w:rsidR="00FC516A" w:rsidRDefault="00FC516A" w:rsidP="00927FB4">
      <w:pPr>
        <w:spacing w:line="240" w:lineRule="auto"/>
      </w:pPr>
      <w:r>
        <w:separator/>
      </w:r>
    </w:p>
  </w:endnote>
  <w:endnote w:type="continuationSeparator" w:id="0">
    <w:p w14:paraId="788D0AAE" w14:textId="77777777" w:rsidR="00FC516A" w:rsidRDefault="00FC516A"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B677" w14:textId="77777777" w:rsidR="00FC516A" w:rsidRDefault="00FC516A" w:rsidP="00927FB4">
      <w:pPr>
        <w:spacing w:line="240" w:lineRule="auto"/>
      </w:pPr>
      <w:r>
        <w:separator/>
      </w:r>
    </w:p>
  </w:footnote>
  <w:footnote w:type="continuationSeparator" w:id="0">
    <w:p w14:paraId="5D7A5323" w14:textId="77777777" w:rsidR="00FC516A" w:rsidRDefault="00FC516A"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7216"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59264"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9CE30"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731B1"/>
    <w:multiLevelType w:val="hybridMultilevel"/>
    <w:tmpl w:val="269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146960">
    <w:abstractNumId w:val="3"/>
  </w:num>
  <w:num w:numId="2" w16cid:durableId="383483191">
    <w:abstractNumId w:val="0"/>
  </w:num>
  <w:num w:numId="3" w16cid:durableId="1050807565">
    <w:abstractNumId w:val="2"/>
  </w:num>
  <w:num w:numId="4" w16cid:durableId="39867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512C"/>
    <w:rsid w:val="000071E1"/>
    <w:rsid w:val="0004735B"/>
    <w:rsid w:val="00051523"/>
    <w:rsid w:val="00053973"/>
    <w:rsid w:val="00071AFD"/>
    <w:rsid w:val="0007636A"/>
    <w:rsid w:val="0009186A"/>
    <w:rsid w:val="000951C2"/>
    <w:rsid w:val="00095811"/>
    <w:rsid w:val="000A4839"/>
    <w:rsid w:val="000B298F"/>
    <w:rsid w:val="000B701F"/>
    <w:rsid w:val="000C20B2"/>
    <w:rsid w:val="000D28CE"/>
    <w:rsid w:val="000D4249"/>
    <w:rsid w:val="000D5D77"/>
    <w:rsid w:val="000F125A"/>
    <w:rsid w:val="000F2BF6"/>
    <w:rsid w:val="00107C87"/>
    <w:rsid w:val="00111FC7"/>
    <w:rsid w:val="0011499F"/>
    <w:rsid w:val="00125F60"/>
    <w:rsid w:val="0013239A"/>
    <w:rsid w:val="00144B47"/>
    <w:rsid w:val="001601C7"/>
    <w:rsid w:val="001633C8"/>
    <w:rsid w:val="00176CE4"/>
    <w:rsid w:val="00191069"/>
    <w:rsid w:val="001A0028"/>
    <w:rsid w:val="001A5F0D"/>
    <w:rsid w:val="001B3D88"/>
    <w:rsid w:val="001E074F"/>
    <w:rsid w:val="001F12F1"/>
    <w:rsid w:val="001F37C7"/>
    <w:rsid w:val="00201FCB"/>
    <w:rsid w:val="00203C6C"/>
    <w:rsid w:val="0020657B"/>
    <w:rsid w:val="00224D2C"/>
    <w:rsid w:val="002272AD"/>
    <w:rsid w:val="00243DE4"/>
    <w:rsid w:val="0025041E"/>
    <w:rsid w:val="002548E0"/>
    <w:rsid w:val="0026602F"/>
    <w:rsid w:val="00270E75"/>
    <w:rsid w:val="00276C53"/>
    <w:rsid w:val="00287C24"/>
    <w:rsid w:val="00294450"/>
    <w:rsid w:val="00297397"/>
    <w:rsid w:val="002A0275"/>
    <w:rsid w:val="002B4D1A"/>
    <w:rsid w:val="002C04D8"/>
    <w:rsid w:val="002C132E"/>
    <w:rsid w:val="002C29EC"/>
    <w:rsid w:val="002C2B5D"/>
    <w:rsid w:val="002C5FB8"/>
    <w:rsid w:val="002D3056"/>
    <w:rsid w:val="002D530F"/>
    <w:rsid w:val="00304761"/>
    <w:rsid w:val="00307F61"/>
    <w:rsid w:val="003108C4"/>
    <w:rsid w:val="003126E7"/>
    <w:rsid w:val="0032272B"/>
    <w:rsid w:val="00326602"/>
    <w:rsid w:val="003559C4"/>
    <w:rsid w:val="00365315"/>
    <w:rsid w:val="003848EF"/>
    <w:rsid w:val="00384EDC"/>
    <w:rsid w:val="003930B4"/>
    <w:rsid w:val="003978E8"/>
    <w:rsid w:val="003A5F72"/>
    <w:rsid w:val="003B10B8"/>
    <w:rsid w:val="003C2599"/>
    <w:rsid w:val="003C3E0F"/>
    <w:rsid w:val="003D6684"/>
    <w:rsid w:val="003E2850"/>
    <w:rsid w:val="003E5B02"/>
    <w:rsid w:val="003E6EA8"/>
    <w:rsid w:val="003F0BB3"/>
    <w:rsid w:val="003F21F5"/>
    <w:rsid w:val="003F42C6"/>
    <w:rsid w:val="0040395A"/>
    <w:rsid w:val="00406C83"/>
    <w:rsid w:val="00421BB7"/>
    <w:rsid w:val="004368AA"/>
    <w:rsid w:val="00440567"/>
    <w:rsid w:val="004416BC"/>
    <w:rsid w:val="00447399"/>
    <w:rsid w:val="00447A26"/>
    <w:rsid w:val="004500A2"/>
    <w:rsid w:val="004504E7"/>
    <w:rsid w:val="0045211B"/>
    <w:rsid w:val="004526CD"/>
    <w:rsid w:val="0045392F"/>
    <w:rsid w:val="0046298A"/>
    <w:rsid w:val="00474E75"/>
    <w:rsid w:val="0047646D"/>
    <w:rsid w:val="00484E5F"/>
    <w:rsid w:val="004957E0"/>
    <w:rsid w:val="004974D2"/>
    <w:rsid w:val="004A03C8"/>
    <w:rsid w:val="004A4A58"/>
    <w:rsid w:val="004A5668"/>
    <w:rsid w:val="004C430F"/>
    <w:rsid w:val="004D3D49"/>
    <w:rsid w:val="004D4E2B"/>
    <w:rsid w:val="004D562C"/>
    <w:rsid w:val="004D7540"/>
    <w:rsid w:val="004F077D"/>
    <w:rsid w:val="004F13A3"/>
    <w:rsid w:val="004F34FD"/>
    <w:rsid w:val="00501738"/>
    <w:rsid w:val="0052572B"/>
    <w:rsid w:val="00536CF2"/>
    <w:rsid w:val="005410EC"/>
    <w:rsid w:val="005418E5"/>
    <w:rsid w:val="005514B9"/>
    <w:rsid w:val="00552443"/>
    <w:rsid w:val="00554997"/>
    <w:rsid w:val="0055644A"/>
    <w:rsid w:val="005577AB"/>
    <w:rsid w:val="005631BC"/>
    <w:rsid w:val="0057673C"/>
    <w:rsid w:val="00576BC5"/>
    <w:rsid w:val="005870AB"/>
    <w:rsid w:val="0059006B"/>
    <w:rsid w:val="005B39F6"/>
    <w:rsid w:val="005B3E33"/>
    <w:rsid w:val="005B4E7C"/>
    <w:rsid w:val="005C5AE1"/>
    <w:rsid w:val="005C6BD1"/>
    <w:rsid w:val="005D0F96"/>
    <w:rsid w:val="005E35E1"/>
    <w:rsid w:val="005F2E64"/>
    <w:rsid w:val="005F6632"/>
    <w:rsid w:val="005F6CB1"/>
    <w:rsid w:val="005F7670"/>
    <w:rsid w:val="006021B3"/>
    <w:rsid w:val="0060450E"/>
    <w:rsid w:val="00604C99"/>
    <w:rsid w:val="00604F7A"/>
    <w:rsid w:val="00606B12"/>
    <w:rsid w:val="00620860"/>
    <w:rsid w:val="00630BBC"/>
    <w:rsid w:val="00637F30"/>
    <w:rsid w:val="00655215"/>
    <w:rsid w:val="00656391"/>
    <w:rsid w:val="0066264D"/>
    <w:rsid w:val="006839E3"/>
    <w:rsid w:val="00683F08"/>
    <w:rsid w:val="00690BC0"/>
    <w:rsid w:val="006938E8"/>
    <w:rsid w:val="00693AFD"/>
    <w:rsid w:val="006974FF"/>
    <w:rsid w:val="006A0F68"/>
    <w:rsid w:val="006A11D0"/>
    <w:rsid w:val="006A174A"/>
    <w:rsid w:val="006A7433"/>
    <w:rsid w:val="006C0ABF"/>
    <w:rsid w:val="006C2AF9"/>
    <w:rsid w:val="006D3941"/>
    <w:rsid w:val="006D6E3D"/>
    <w:rsid w:val="006E4B42"/>
    <w:rsid w:val="006F1698"/>
    <w:rsid w:val="006F472E"/>
    <w:rsid w:val="007039C2"/>
    <w:rsid w:val="0070630B"/>
    <w:rsid w:val="007103DB"/>
    <w:rsid w:val="007150D6"/>
    <w:rsid w:val="0072017C"/>
    <w:rsid w:val="0072189E"/>
    <w:rsid w:val="00721C72"/>
    <w:rsid w:val="007235BA"/>
    <w:rsid w:val="00741A07"/>
    <w:rsid w:val="00761660"/>
    <w:rsid w:val="00787C13"/>
    <w:rsid w:val="0079417A"/>
    <w:rsid w:val="0079598B"/>
    <w:rsid w:val="007B6D17"/>
    <w:rsid w:val="007C500C"/>
    <w:rsid w:val="007C7E08"/>
    <w:rsid w:val="007D3140"/>
    <w:rsid w:val="007F2FDF"/>
    <w:rsid w:val="007F7FD8"/>
    <w:rsid w:val="00801145"/>
    <w:rsid w:val="00815665"/>
    <w:rsid w:val="0085361D"/>
    <w:rsid w:val="00860772"/>
    <w:rsid w:val="008670E5"/>
    <w:rsid w:val="00871637"/>
    <w:rsid w:val="008935ED"/>
    <w:rsid w:val="008A5BB3"/>
    <w:rsid w:val="008C0B1F"/>
    <w:rsid w:val="008C32A1"/>
    <w:rsid w:val="008D05AA"/>
    <w:rsid w:val="008D1694"/>
    <w:rsid w:val="008D201D"/>
    <w:rsid w:val="008E1DF1"/>
    <w:rsid w:val="008E7C38"/>
    <w:rsid w:val="008F0642"/>
    <w:rsid w:val="008F2336"/>
    <w:rsid w:val="008F3385"/>
    <w:rsid w:val="00916EA0"/>
    <w:rsid w:val="009215CA"/>
    <w:rsid w:val="00927FB4"/>
    <w:rsid w:val="00933726"/>
    <w:rsid w:val="0094334A"/>
    <w:rsid w:val="0094400B"/>
    <w:rsid w:val="0094721A"/>
    <w:rsid w:val="00964BCB"/>
    <w:rsid w:val="009666D6"/>
    <w:rsid w:val="00975261"/>
    <w:rsid w:val="00975ED2"/>
    <w:rsid w:val="0097698C"/>
    <w:rsid w:val="00993741"/>
    <w:rsid w:val="0099502C"/>
    <w:rsid w:val="009B1BB6"/>
    <w:rsid w:val="009B4B91"/>
    <w:rsid w:val="009C237F"/>
    <w:rsid w:val="009D7A75"/>
    <w:rsid w:val="009E2C5D"/>
    <w:rsid w:val="009E3EB8"/>
    <w:rsid w:val="009F45E6"/>
    <w:rsid w:val="00A0040D"/>
    <w:rsid w:val="00A03AFB"/>
    <w:rsid w:val="00A1164A"/>
    <w:rsid w:val="00A130F6"/>
    <w:rsid w:val="00A20B12"/>
    <w:rsid w:val="00A2289F"/>
    <w:rsid w:val="00A3314D"/>
    <w:rsid w:val="00A37322"/>
    <w:rsid w:val="00A73222"/>
    <w:rsid w:val="00A7678A"/>
    <w:rsid w:val="00A946C7"/>
    <w:rsid w:val="00A948D1"/>
    <w:rsid w:val="00AA0905"/>
    <w:rsid w:val="00AA2161"/>
    <w:rsid w:val="00AA6519"/>
    <w:rsid w:val="00AB3C80"/>
    <w:rsid w:val="00AB60FC"/>
    <w:rsid w:val="00AB77F9"/>
    <w:rsid w:val="00AC07B2"/>
    <w:rsid w:val="00AC0B4E"/>
    <w:rsid w:val="00AD1571"/>
    <w:rsid w:val="00AD6957"/>
    <w:rsid w:val="00AF0E99"/>
    <w:rsid w:val="00AF6F1B"/>
    <w:rsid w:val="00B00BBA"/>
    <w:rsid w:val="00B01C38"/>
    <w:rsid w:val="00B03D0B"/>
    <w:rsid w:val="00B072D6"/>
    <w:rsid w:val="00B11A21"/>
    <w:rsid w:val="00B159A1"/>
    <w:rsid w:val="00B20BDF"/>
    <w:rsid w:val="00B27033"/>
    <w:rsid w:val="00B27E0D"/>
    <w:rsid w:val="00B3734E"/>
    <w:rsid w:val="00B4272E"/>
    <w:rsid w:val="00B62843"/>
    <w:rsid w:val="00B628DD"/>
    <w:rsid w:val="00B65605"/>
    <w:rsid w:val="00B65FCF"/>
    <w:rsid w:val="00B66B9F"/>
    <w:rsid w:val="00B717D7"/>
    <w:rsid w:val="00B72C83"/>
    <w:rsid w:val="00B74754"/>
    <w:rsid w:val="00B76188"/>
    <w:rsid w:val="00B8455F"/>
    <w:rsid w:val="00B930AB"/>
    <w:rsid w:val="00B9321F"/>
    <w:rsid w:val="00BA7740"/>
    <w:rsid w:val="00BB613F"/>
    <w:rsid w:val="00BB761A"/>
    <w:rsid w:val="00BD09A5"/>
    <w:rsid w:val="00BD3F55"/>
    <w:rsid w:val="00BD764C"/>
    <w:rsid w:val="00BF1EEA"/>
    <w:rsid w:val="00BF5235"/>
    <w:rsid w:val="00BF5DCF"/>
    <w:rsid w:val="00C03A8F"/>
    <w:rsid w:val="00C03DBB"/>
    <w:rsid w:val="00C07D03"/>
    <w:rsid w:val="00C14300"/>
    <w:rsid w:val="00C14CF0"/>
    <w:rsid w:val="00C16203"/>
    <w:rsid w:val="00C17C7C"/>
    <w:rsid w:val="00C20C9E"/>
    <w:rsid w:val="00C33E23"/>
    <w:rsid w:val="00C36B5A"/>
    <w:rsid w:val="00C37F76"/>
    <w:rsid w:val="00C40D8C"/>
    <w:rsid w:val="00C42975"/>
    <w:rsid w:val="00C52AD0"/>
    <w:rsid w:val="00C53669"/>
    <w:rsid w:val="00C62A62"/>
    <w:rsid w:val="00C64918"/>
    <w:rsid w:val="00C75C16"/>
    <w:rsid w:val="00C81432"/>
    <w:rsid w:val="00C8274E"/>
    <w:rsid w:val="00C925B8"/>
    <w:rsid w:val="00C95083"/>
    <w:rsid w:val="00CA2C1F"/>
    <w:rsid w:val="00CC00C6"/>
    <w:rsid w:val="00CD7D43"/>
    <w:rsid w:val="00CE3719"/>
    <w:rsid w:val="00CF3A30"/>
    <w:rsid w:val="00CF77C4"/>
    <w:rsid w:val="00D068E5"/>
    <w:rsid w:val="00D114A5"/>
    <w:rsid w:val="00D11B36"/>
    <w:rsid w:val="00D16BA2"/>
    <w:rsid w:val="00D277D7"/>
    <w:rsid w:val="00D31BC3"/>
    <w:rsid w:val="00D35FD8"/>
    <w:rsid w:val="00D375FE"/>
    <w:rsid w:val="00D50AEF"/>
    <w:rsid w:val="00D50E55"/>
    <w:rsid w:val="00D5197D"/>
    <w:rsid w:val="00D61DD4"/>
    <w:rsid w:val="00D66AEA"/>
    <w:rsid w:val="00D87B15"/>
    <w:rsid w:val="00DA0054"/>
    <w:rsid w:val="00DA5D7F"/>
    <w:rsid w:val="00DB04BC"/>
    <w:rsid w:val="00DB51D7"/>
    <w:rsid w:val="00DB5D3F"/>
    <w:rsid w:val="00DB7CEE"/>
    <w:rsid w:val="00DC525C"/>
    <w:rsid w:val="00DC5E14"/>
    <w:rsid w:val="00DD7C5F"/>
    <w:rsid w:val="00DE6819"/>
    <w:rsid w:val="00DF2612"/>
    <w:rsid w:val="00E0371E"/>
    <w:rsid w:val="00E06D9C"/>
    <w:rsid w:val="00E075A6"/>
    <w:rsid w:val="00E26C69"/>
    <w:rsid w:val="00E34B90"/>
    <w:rsid w:val="00E4503E"/>
    <w:rsid w:val="00E464CA"/>
    <w:rsid w:val="00E519BB"/>
    <w:rsid w:val="00E63D4C"/>
    <w:rsid w:val="00E85683"/>
    <w:rsid w:val="00E86B55"/>
    <w:rsid w:val="00EA4399"/>
    <w:rsid w:val="00EB044D"/>
    <w:rsid w:val="00EB08FE"/>
    <w:rsid w:val="00ED0810"/>
    <w:rsid w:val="00EE245C"/>
    <w:rsid w:val="00F036B5"/>
    <w:rsid w:val="00F22EF7"/>
    <w:rsid w:val="00F33483"/>
    <w:rsid w:val="00F343A7"/>
    <w:rsid w:val="00F4090A"/>
    <w:rsid w:val="00F521D5"/>
    <w:rsid w:val="00F636B8"/>
    <w:rsid w:val="00F70B19"/>
    <w:rsid w:val="00F86771"/>
    <w:rsid w:val="00F907F0"/>
    <w:rsid w:val="00FA6C1C"/>
    <w:rsid w:val="00FB261B"/>
    <w:rsid w:val="00FB5307"/>
    <w:rsid w:val="00FB5A4F"/>
    <w:rsid w:val="00FC20D8"/>
    <w:rsid w:val="00FC516A"/>
    <w:rsid w:val="00FC79B1"/>
    <w:rsid w:val="00FD51DC"/>
    <w:rsid w:val="00FD5CD2"/>
    <w:rsid w:val="00FE0A48"/>
    <w:rsid w:val="00FE0D77"/>
    <w:rsid w:val="00FE6515"/>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paragraph" w:styleId="BodyText">
    <w:name w:val="Body Text"/>
    <w:basedOn w:val="Normal"/>
    <w:link w:val="BodyTextChar"/>
    <w:rsid w:val="00440567"/>
    <w:pPr>
      <w:autoSpaceDE w:val="0"/>
      <w:autoSpaceDN w:val="0"/>
      <w:adjustRightInd w:val="0"/>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40567"/>
    <w:rPr>
      <w:rFonts w:ascii="Times New Roman" w:eastAsia="Times New Roman" w:hAnsi="Times New Roman" w:cs="Times New Roman"/>
      <w:sz w:val="20"/>
      <w:szCs w:val="24"/>
    </w:rPr>
  </w:style>
  <w:style w:type="character" w:customStyle="1" w:styleId="il">
    <w:name w:val="il"/>
    <w:basedOn w:val="DefaultParagraphFont"/>
    <w:rsid w:val="00440567"/>
  </w:style>
  <w:style w:type="character" w:customStyle="1" w:styleId="eop">
    <w:name w:val="eop"/>
    <w:basedOn w:val="DefaultParagraphFont"/>
    <w:rsid w:val="00BF5235"/>
  </w:style>
  <w:style w:type="character" w:styleId="CommentReference">
    <w:name w:val="annotation reference"/>
    <w:basedOn w:val="DefaultParagraphFont"/>
    <w:uiPriority w:val="99"/>
    <w:semiHidden/>
    <w:unhideWhenUsed/>
    <w:rsid w:val="007C7E08"/>
    <w:rPr>
      <w:sz w:val="16"/>
      <w:szCs w:val="16"/>
    </w:rPr>
  </w:style>
  <w:style w:type="paragraph" w:styleId="CommentText">
    <w:name w:val="annotation text"/>
    <w:basedOn w:val="Normal"/>
    <w:link w:val="CommentTextChar"/>
    <w:uiPriority w:val="99"/>
    <w:unhideWhenUsed/>
    <w:rsid w:val="007C7E08"/>
    <w:pPr>
      <w:spacing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7C7E08"/>
    <w:rPr>
      <w:sz w:val="20"/>
      <w:szCs w:val="20"/>
    </w:rPr>
  </w:style>
  <w:style w:type="character" w:styleId="Emphasis">
    <w:name w:val="Emphasis"/>
    <w:basedOn w:val="DefaultParagraphFont"/>
    <w:uiPriority w:val="20"/>
    <w:qFormat/>
    <w:rsid w:val="00693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8848">
      <w:bodyDiv w:val="1"/>
      <w:marLeft w:val="0"/>
      <w:marRight w:val="0"/>
      <w:marTop w:val="0"/>
      <w:marBottom w:val="0"/>
      <w:divBdr>
        <w:top w:val="none" w:sz="0" w:space="0" w:color="auto"/>
        <w:left w:val="none" w:sz="0" w:space="0" w:color="auto"/>
        <w:bottom w:val="none" w:sz="0" w:space="0" w:color="auto"/>
        <w:right w:val="none" w:sz="0" w:space="0" w:color="auto"/>
      </w:divBdr>
    </w:div>
    <w:div w:id="1322657542">
      <w:bodyDiv w:val="1"/>
      <w:marLeft w:val="0"/>
      <w:marRight w:val="0"/>
      <w:marTop w:val="0"/>
      <w:marBottom w:val="0"/>
      <w:divBdr>
        <w:top w:val="none" w:sz="0" w:space="0" w:color="auto"/>
        <w:left w:val="none" w:sz="0" w:space="0" w:color="auto"/>
        <w:bottom w:val="none" w:sz="0" w:space="0" w:color="auto"/>
        <w:right w:val="none" w:sz="0" w:space="0" w:color="auto"/>
      </w:divBdr>
      <w:divsChild>
        <w:div w:id="100613467">
          <w:marLeft w:val="0"/>
          <w:marRight w:val="0"/>
          <w:marTop w:val="150"/>
          <w:marBottom w:val="225"/>
          <w:divBdr>
            <w:top w:val="none" w:sz="0" w:space="0" w:color="auto"/>
            <w:left w:val="none" w:sz="0" w:space="0" w:color="auto"/>
            <w:bottom w:val="none" w:sz="0" w:space="0" w:color="auto"/>
            <w:right w:val="none" w:sz="0" w:space="0" w:color="auto"/>
          </w:divBdr>
        </w:div>
        <w:div w:id="142183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m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mp.org/node/1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mp.org/node/2015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smp.org/node/870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2.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customXml/itemProps3.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2023-11-06T21:51:00Z</cp:lastPrinted>
  <dcterms:created xsi:type="dcterms:W3CDTF">2024-01-16T14:01:00Z</dcterms:created>
  <dcterms:modified xsi:type="dcterms:W3CDTF">2024-01-16T14:01:00Z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