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31BA84AA" w:rsidR="0000512C" w:rsidRPr="006B6780" w:rsidRDefault="004E1AE4" w:rsidP="00FC7ACF">
            <w:r>
              <w:t>April 4</w:t>
            </w:r>
            <w:r w:rsidR="0000512C" w:rsidRPr="00576BC5">
              <w:t>,</w:t>
            </w:r>
            <w:r w:rsidR="0000512C" w:rsidRPr="004D3D49">
              <w:t xml:space="preserve"> 202</w:t>
            </w:r>
            <w:r w:rsidR="00306481">
              <w:t>3</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23FC235A" w14:textId="68146F7A" w:rsidR="00616199" w:rsidRDefault="00365D0F" w:rsidP="000D6B57">
      <w:pPr>
        <w:pStyle w:val="Heading2"/>
        <w:spacing w:before="600" w:after="120"/>
        <w:jc w:val="center"/>
        <w:rPr>
          <w:sz w:val="32"/>
          <w:szCs w:val="32"/>
        </w:rPr>
      </w:pPr>
      <w:r>
        <w:rPr>
          <w:sz w:val="32"/>
          <w:szCs w:val="32"/>
        </w:rPr>
        <w:t xml:space="preserve">First </w:t>
      </w:r>
      <w:r w:rsidR="00440567" w:rsidRPr="001F37C7">
        <w:rPr>
          <w:sz w:val="32"/>
          <w:szCs w:val="32"/>
        </w:rPr>
        <w:t xml:space="preserve">ISMP </w:t>
      </w:r>
      <w:r>
        <w:rPr>
          <w:sz w:val="32"/>
          <w:szCs w:val="32"/>
        </w:rPr>
        <w:t>Targeted Medication Safety                                  Best Practices for Community Pharmacy Released</w:t>
      </w:r>
    </w:p>
    <w:p w14:paraId="3C1E1C98" w14:textId="03917CCB" w:rsidR="005649F1" w:rsidRPr="00E7077B" w:rsidRDefault="00EC1BB2" w:rsidP="003D259D">
      <w:pPr>
        <w:pStyle w:val="Heading2"/>
        <w:spacing w:before="0" w:after="48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Focus Areas Include Wrong-Patient</w:t>
      </w:r>
      <w:r w:rsidR="00324633">
        <w:rPr>
          <w:rFonts w:ascii="Calibri Light" w:hAnsi="Calibri Light" w:cs="Calibri Light"/>
          <w:b w:val="0"/>
          <w:bCs/>
          <w:i/>
          <w:iCs/>
          <w:color w:val="1F3864" w:themeColor="accent1" w:themeShade="80"/>
          <w:sz w:val="22"/>
          <w:szCs w:val="22"/>
        </w:rPr>
        <w:t xml:space="preserve"> Errors</w:t>
      </w:r>
      <w:r>
        <w:rPr>
          <w:rFonts w:ascii="Calibri Light" w:hAnsi="Calibri Light" w:cs="Calibri Light"/>
          <w:b w:val="0"/>
          <w:bCs/>
          <w:i/>
          <w:iCs/>
          <w:color w:val="1F3864" w:themeColor="accent1" w:themeShade="80"/>
          <w:sz w:val="22"/>
          <w:szCs w:val="22"/>
        </w:rPr>
        <w:t xml:space="preserve">, </w:t>
      </w:r>
      <w:r w:rsidR="005B258A">
        <w:rPr>
          <w:rFonts w:ascii="Calibri Light" w:hAnsi="Calibri Light" w:cs="Calibri Light"/>
          <w:b w:val="0"/>
          <w:bCs/>
          <w:i/>
          <w:iCs/>
          <w:color w:val="1F3864" w:themeColor="accent1" w:themeShade="80"/>
          <w:sz w:val="22"/>
          <w:szCs w:val="22"/>
        </w:rPr>
        <w:t xml:space="preserve">Barcode Verification, and </w:t>
      </w:r>
      <w:r w:rsidR="007864DF">
        <w:rPr>
          <w:rFonts w:ascii="Calibri Light" w:hAnsi="Calibri Light" w:cs="Calibri Light"/>
          <w:b w:val="0"/>
          <w:bCs/>
          <w:i/>
          <w:iCs/>
          <w:color w:val="1F3864" w:themeColor="accent1" w:themeShade="80"/>
          <w:sz w:val="22"/>
          <w:szCs w:val="22"/>
        </w:rPr>
        <w:t>Oral Methotrexate Dosing</w:t>
      </w:r>
      <w:r w:rsidR="00E7077B">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40D96DEA" w14:textId="0AE74A79" w:rsidR="00C87237" w:rsidRDefault="00440567" w:rsidP="00B42B53">
      <w:r w:rsidRPr="00440567">
        <w:rPr>
          <w:b/>
          <w:bCs/>
        </w:rPr>
        <w:t>Plymouth Meeting, Pa.</w:t>
      </w:r>
      <w:r w:rsidRPr="00440567">
        <w:t xml:space="preserve"> –</w:t>
      </w:r>
      <w:r w:rsidR="00B42B53">
        <w:t>T</w:t>
      </w:r>
      <w:r w:rsidR="00794387">
        <w:t>he Institute for Safe Medication Practices (ISMP)</w:t>
      </w:r>
      <w:r w:rsidR="00B42B53">
        <w:t xml:space="preserve"> has developed the first set of specific, consensus-based guidance to help prevent persistent medication safety issues in community pharmacy and the potential patient harm that can result</w:t>
      </w:r>
      <w:r w:rsidR="004E13E1">
        <w:t>.</w:t>
      </w:r>
      <w:r w:rsidR="00B42B53">
        <w:t xml:space="preserve"> The 2023-2024 ISMP Targeted Medication Safety Best Practices for Community Pharmacy identify areas where greater action is needed. </w:t>
      </w:r>
    </w:p>
    <w:p w14:paraId="25288B85" w14:textId="77777777" w:rsidR="00194FA6" w:rsidRDefault="00194FA6" w:rsidP="00B42B53"/>
    <w:p w14:paraId="21879914" w14:textId="1A4CD779" w:rsidR="00194FA6" w:rsidRDefault="00194FA6" w:rsidP="00B42B53">
      <w:r>
        <w:t xml:space="preserve">To best protect public health, ISMP encourages community </w:t>
      </w:r>
      <w:r w:rsidR="009632BC">
        <w:t>pharmacies</w:t>
      </w:r>
      <w:r>
        <w:t xml:space="preserve"> to focus their medication safety efforts </w:t>
      </w:r>
      <w:r w:rsidR="00C11EBC">
        <w:t xml:space="preserve">for the next two years </w:t>
      </w:r>
      <w:r>
        <w:t>on these best practices, which are designed to be practical and have already been successfully adopted by numerous organizations. While targeted for the community pharmacy setting, some best practices are applicable to other healthcare settings, such as ambulatory, mail order, specialty pharmacy, long-term care, and home infusion.</w:t>
      </w:r>
    </w:p>
    <w:p w14:paraId="57E2915D" w14:textId="77777777" w:rsidR="00B34D71" w:rsidRDefault="00B34D71" w:rsidP="00B42B53"/>
    <w:p w14:paraId="6347A28E" w14:textId="1485A686" w:rsidR="00B34D71" w:rsidRPr="005C6AC8" w:rsidRDefault="00B34D71" w:rsidP="005C6AC8">
      <w:pPr>
        <w:pStyle w:val="Heading1"/>
        <w:shd w:val="clear" w:color="auto" w:fill="FFFFFF"/>
        <w:rPr>
          <w:rFonts w:eastAsia="Times New Roman"/>
          <w:b w:val="0"/>
          <w:bCs/>
          <w:color w:val="auto"/>
          <w:spacing w:val="11"/>
          <w:sz w:val="20"/>
          <w:szCs w:val="20"/>
        </w:rPr>
      </w:pPr>
      <w:r w:rsidRPr="00575650">
        <w:rPr>
          <w:b w:val="0"/>
          <w:bCs/>
          <w:color w:val="auto"/>
          <w:sz w:val="20"/>
          <w:szCs w:val="20"/>
        </w:rPr>
        <w:t>“</w:t>
      </w:r>
      <w:r w:rsidR="003E5D0D" w:rsidRPr="00575650">
        <w:rPr>
          <w:b w:val="0"/>
          <w:bCs/>
          <w:color w:val="auto"/>
          <w:sz w:val="20"/>
          <w:szCs w:val="20"/>
        </w:rPr>
        <w:t>Many types of errors recur in community pharmacies, and more can be done to implement technology and procedures to prevent them,” says</w:t>
      </w:r>
      <w:r w:rsidR="005C6AC8" w:rsidRPr="00575650">
        <w:rPr>
          <w:b w:val="0"/>
          <w:bCs/>
          <w:color w:val="auto"/>
          <w:sz w:val="20"/>
          <w:szCs w:val="20"/>
        </w:rPr>
        <w:t xml:space="preserve"> </w:t>
      </w:r>
      <w:r w:rsidR="00D5092F">
        <w:rPr>
          <w:b w:val="0"/>
          <w:bCs/>
          <w:color w:val="auto"/>
          <w:sz w:val="20"/>
          <w:szCs w:val="20"/>
        </w:rPr>
        <w:t xml:space="preserve">ISMP’s </w:t>
      </w:r>
      <w:r w:rsidR="005C6AC8" w:rsidRPr="00575650">
        <w:rPr>
          <w:b w:val="0"/>
          <w:bCs/>
          <w:color w:val="auto"/>
          <w:spacing w:val="11"/>
          <w:sz w:val="20"/>
          <w:szCs w:val="20"/>
        </w:rPr>
        <w:t>Michael J. Gaunt, PharmD, Senior Manager, Error Reporting Programs</w:t>
      </w:r>
      <w:r w:rsidR="003E5D0D" w:rsidRPr="00575650">
        <w:rPr>
          <w:b w:val="0"/>
          <w:bCs/>
          <w:color w:val="auto"/>
          <w:sz w:val="20"/>
          <w:szCs w:val="20"/>
        </w:rPr>
        <w:t>. “</w:t>
      </w:r>
      <w:r w:rsidR="0077071F" w:rsidRPr="00575650">
        <w:rPr>
          <w:b w:val="0"/>
          <w:bCs/>
          <w:color w:val="auto"/>
          <w:sz w:val="20"/>
          <w:szCs w:val="20"/>
        </w:rPr>
        <w:t xml:space="preserve">There is a natural human tendency to ‘normalize’ errors that happen in other </w:t>
      </w:r>
      <w:r w:rsidR="001B2F4B" w:rsidRPr="00575650">
        <w:rPr>
          <w:b w:val="0"/>
          <w:bCs/>
          <w:color w:val="auto"/>
          <w:sz w:val="20"/>
          <w:szCs w:val="20"/>
        </w:rPr>
        <w:t>facilities</w:t>
      </w:r>
      <w:r w:rsidR="0077071F" w:rsidRPr="00575650">
        <w:rPr>
          <w:b w:val="0"/>
          <w:bCs/>
          <w:color w:val="auto"/>
          <w:sz w:val="20"/>
          <w:szCs w:val="20"/>
        </w:rPr>
        <w:t xml:space="preserve">, </w:t>
      </w:r>
      <w:r w:rsidR="00820A6E" w:rsidRPr="00575650">
        <w:rPr>
          <w:b w:val="0"/>
          <w:bCs/>
          <w:color w:val="auto"/>
          <w:sz w:val="20"/>
          <w:szCs w:val="20"/>
        </w:rPr>
        <w:t xml:space="preserve">but community pharmacy leaders have a role to play in conveying that errors present learning opportunities and </w:t>
      </w:r>
      <w:r w:rsidR="001B2F4B" w:rsidRPr="00575650">
        <w:rPr>
          <w:b w:val="0"/>
          <w:bCs/>
          <w:color w:val="auto"/>
          <w:sz w:val="20"/>
          <w:szCs w:val="20"/>
        </w:rPr>
        <w:t>steps should be taken to prevent them from happening in their own organization.”</w:t>
      </w:r>
    </w:p>
    <w:p w14:paraId="7F57C4E4" w14:textId="77777777" w:rsidR="003A07D5" w:rsidRDefault="003A07D5" w:rsidP="00B42B53"/>
    <w:p w14:paraId="009C974F" w14:textId="1480410F" w:rsidR="003A07D5" w:rsidRDefault="003A07D5" w:rsidP="00B42B53">
      <w:r>
        <w:t xml:space="preserve">The 2023-2024 </w:t>
      </w:r>
      <w:r w:rsidR="001909D3">
        <w:t>c</w:t>
      </w:r>
      <w:r>
        <w:t xml:space="preserve">ommunity </w:t>
      </w:r>
      <w:r w:rsidR="001909D3">
        <w:t>p</w:t>
      </w:r>
      <w:r>
        <w:t xml:space="preserve">harmacy </w:t>
      </w:r>
      <w:r w:rsidR="00E7430B">
        <w:t>b</w:t>
      </w:r>
      <w:r w:rsidR="007200B6">
        <w:t xml:space="preserve">est </w:t>
      </w:r>
      <w:r w:rsidR="00E7430B">
        <w:t>p</w:t>
      </w:r>
      <w:r w:rsidR="007200B6">
        <w:t>ractices address the following issues:</w:t>
      </w:r>
    </w:p>
    <w:p w14:paraId="50C27E06" w14:textId="77777777" w:rsidR="00031016" w:rsidRPr="00031016" w:rsidRDefault="00031016" w:rsidP="00B42B53">
      <w:pPr>
        <w:pStyle w:val="NormalWeb"/>
        <w:shd w:val="clear" w:color="auto" w:fill="FFFFFF"/>
        <w:spacing w:before="0" w:beforeAutospacing="0" w:after="0" w:afterAutospacing="0" w:line="288" w:lineRule="auto"/>
        <w:rPr>
          <w:rFonts w:ascii="Arial" w:hAnsi="Arial" w:cs="Arial"/>
          <w:color w:val="141414"/>
          <w:spacing w:val="11"/>
          <w:sz w:val="20"/>
          <w:szCs w:val="20"/>
        </w:rPr>
      </w:pPr>
    </w:p>
    <w:p w14:paraId="50698951" w14:textId="77777777" w:rsidR="00031016" w:rsidRPr="00FF7DA5" w:rsidRDefault="00031016" w:rsidP="005C6AC8">
      <w:pPr>
        <w:pStyle w:val="NormalWeb"/>
        <w:numPr>
          <w:ilvl w:val="0"/>
          <w:numId w:val="22"/>
        </w:numPr>
        <w:shd w:val="clear" w:color="auto" w:fill="FFFFFF"/>
        <w:spacing w:before="0" w:beforeAutospacing="0" w:after="240" w:afterAutospacing="0" w:line="288" w:lineRule="auto"/>
        <w:rPr>
          <w:rFonts w:ascii="Arial" w:hAnsi="Arial" w:cs="Arial"/>
          <w:color w:val="141414"/>
          <w:spacing w:val="11"/>
          <w:sz w:val="20"/>
          <w:szCs w:val="20"/>
        </w:rPr>
      </w:pPr>
      <w:r w:rsidRPr="00FF7DA5">
        <w:rPr>
          <w:rFonts w:ascii="Arial" w:hAnsi="Arial" w:cs="Arial"/>
          <w:color w:val="141414"/>
          <w:spacing w:val="11"/>
          <w:sz w:val="20"/>
          <w:szCs w:val="20"/>
        </w:rPr>
        <w:t xml:space="preserve">Preventing wrong patient errors when filling prescriptions, responding to questions, and administering vaccines </w:t>
      </w:r>
    </w:p>
    <w:p w14:paraId="7BC5B9CB" w14:textId="50E47D27" w:rsidR="00031016" w:rsidRPr="00FF7DA5" w:rsidRDefault="00031016" w:rsidP="005C6AC8">
      <w:pPr>
        <w:pStyle w:val="NormalWeb"/>
        <w:numPr>
          <w:ilvl w:val="0"/>
          <w:numId w:val="22"/>
        </w:numPr>
        <w:shd w:val="clear" w:color="auto" w:fill="FFFFFF"/>
        <w:spacing w:before="0" w:beforeAutospacing="0" w:after="240" w:afterAutospacing="0" w:line="288" w:lineRule="auto"/>
        <w:rPr>
          <w:rFonts w:ascii="Arial" w:hAnsi="Arial" w:cs="Arial"/>
          <w:color w:val="141414"/>
          <w:spacing w:val="11"/>
          <w:sz w:val="20"/>
          <w:szCs w:val="20"/>
        </w:rPr>
      </w:pPr>
      <w:r w:rsidRPr="00FF7DA5">
        <w:rPr>
          <w:rFonts w:ascii="Arial" w:hAnsi="Arial" w:cs="Arial"/>
          <w:color w:val="141414"/>
          <w:spacing w:val="11"/>
          <w:sz w:val="20"/>
          <w:szCs w:val="20"/>
        </w:rPr>
        <w:t xml:space="preserve">Expanding and maximizing the use of barcode scanning during medication and vaccine dispensing </w:t>
      </w:r>
    </w:p>
    <w:p w14:paraId="6B75AAFD" w14:textId="77777777" w:rsidR="00031016" w:rsidRPr="00FF7DA5" w:rsidRDefault="00031016" w:rsidP="005C6AC8">
      <w:pPr>
        <w:pStyle w:val="NormalWeb"/>
        <w:numPr>
          <w:ilvl w:val="0"/>
          <w:numId w:val="22"/>
        </w:numPr>
        <w:shd w:val="clear" w:color="auto" w:fill="FFFFFF"/>
        <w:spacing w:before="0" w:beforeAutospacing="0" w:after="240" w:afterAutospacing="0" w:line="288" w:lineRule="auto"/>
        <w:rPr>
          <w:rFonts w:ascii="Arial" w:hAnsi="Arial" w:cs="Arial"/>
          <w:color w:val="141414"/>
          <w:spacing w:val="11"/>
          <w:sz w:val="20"/>
          <w:szCs w:val="20"/>
        </w:rPr>
      </w:pPr>
      <w:r w:rsidRPr="00FF7DA5">
        <w:rPr>
          <w:rFonts w:ascii="Arial" w:hAnsi="Arial" w:cs="Arial"/>
          <w:color w:val="141414"/>
          <w:spacing w:val="11"/>
          <w:sz w:val="20"/>
          <w:szCs w:val="20"/>
        </w:rPr>
        <w:t>Avoiding errors involving inadvertent daily dosing of methotrexate for non-cancer indications</w:t>
      </w:r>
    </w:p>
    <w:p w14:paraId="72D04B28" w14:textId="77777777" w:rsidR="005C6AC8" w:rsidRDefault="005C6AC8" w:rsidP="005C6AC8">
      <w:pPr>
        <w:pStyle w:val="NormalWeb"/>
        <w:shd w:val="clear" w:color="auto" w:fill="FFFFFF"/>
        <w:spacing w:before="0" w:beforeAutospacing="0" w:after="240" w:afterAutospacing="0" w:line="288" w:lineRule="auto"/>
        <w:rPr>
          <w:rFonts w:ascii="Arial" w:hAnsi="Arial" w:cs="Arial"/>
          <w:color w:val="141414"/>
          <w:spacing w:val="11"/>
          <w:sz w:val="20"/>
          <w:szCs w:val="20"/>
        </w:rPr>
      </w:pPr>
    </w:p>
    <w:p w14:paraId="1C2D8AB2" w14:textId="633B3E42" w:rsidR="00031016" w:rsidRPr="00FF7DA5" w:rsidRDefault="00031016" w:rsidP="005C6AC8">
      <w:pPr>
        <w:pStyle w:val="NormalWeb"/>
        <w:numPr>
          <w:ilvl w:val="0"/>
          <w:numId w:val="22"/>
        </w:numPr>
        <w:shd w:val="clear" w:color="auto" w:fill="FFFFFF"/>
        <w:spacing w:before="0" w:beforeAutospacing="0" w:after="240" w:afterAutospacing="0" w:line="288" w:lineRule="auto"/>
        <w:rPr>
          <w:rFonts w:ascii="Arial" w:hAnsi="Arial" w:cs="Arial"/>
          <w:color w:val="141414"/>
          <w:spacing w:val="11"/>
          <w:sz w:val="20"/>
          <w:szCs w:val="20"/>
        </w:rPr>
      </w:pPr>
      <w:r w:rsidRPr="00FF7DA5">
        <w:rPr>
          <w:rFonts w:ascii="Arial" w:hAnsi="Arial" w:cs="Arial"/>
          <w:color w:val="141414"/>
          <w:spacing w:val="11"/>
          <w:sz w:val="20"/>
          <w:szCs w:val="20"/>
        </w:rPr>
        <w:t>Standardizing the use of metric (milliliter--mL) units of measure when prescribing, dispensing, and measuring oral liquid medications</w:t>
      </w:r>
    </w:p>
    <w:p w14:paraId="1A2E9FF7" w14:textId="77777777" w:rsidR="00031016" w:rsidRPr="00031016" w:rsidRDefault="00031016" w:rsidP="005C6AC8">
      <w:pPr>
        <w:pStyle w:val="NoSpacing"/>
        <w:numPr>
          <w:ilvl w:val="0"/>
          <w:numId w:val="22"/>
        </w:numPr>
        <w:spacing w:after="240" w:line="288" w:lineRule="auto"/>
        <w:rPr>
          <w:rFonts w:ascii="Arial" w:hAnsi="Arial" w:cs="Arial"/>
          <w:sz w:val="20"/>
          <w:szCs w:val="20"/>
        </w:rPr>
      </w:pPr>
      <w:r w:rsidRPr="00031016">
        <w:rPr>
          <w:rFonts w:ascii="Arial" w:hAnsi="Arial" w:cs="Arial"/>
          <w:sz w:val="20"/>
          <w:szCs w:val="20"/>
        </w:rPr>
        <w:t xml:space="preserve">Using information about medication safety risks and errors that have occurred in other organizations to take preventative </w:t>
      </w:r>
      <w:proofErr w:type="gramStart"/>
      <w:r w:rsidRPr="00031016">
        <w:rPr>
          <w:rFonts w:ascii="Arial" w:hAnsi="Arial" w:cs="Arial"/>
          <w:sz w:val="20"/>
          <w:szCs w:val="20"/>
        </w:rPr>
        <w:t>action</w:t>
      </w:r>
      <w:proofErr w:type="gramEnd"/>
      <w:r w:rsidRPr="00031016">
        <w:rPr>
          <w:rFonts w:ascii="Arial" w:hAnsi="Arial" w:cs="Arial"/>
          <w:sz w:val="20"/>
          <w:szCs w:val="20"/>
        </w:rPr>
        <w:t xml:space="preserve"> </w:t>
      </w:r>
    </w:p>
    <w:p w14:paraId="09BB7D48" w14:textId="77777777" w:rsidR="00031016" w:rsidRDefault="00031016" w:rsidP="005C6AC8">
      <w:pPr>
        <w:pStyle w:val="NormalWeb"/>
        <w:spacing w:before="0" w:beforeAutospacing="0" w:after="240" w:afterAutospacing="0" w:line="288" w:lineRule="auto"/>
        <w:rPr>
          <w:rFonts w:ascii="Arial" w:hAnsi="Arial" w:cs="Arial"/>
          <w:i/>
          <w:iCs/>
          <w:color w:val="141414"/>
          <w:spacing w:val="2"/>
          <w:sz w:val="20"/>
          <w:szCs w:val="20"/>
        </w:rPr>
      </w:pPr>
    </w:p>
    <w:p w14:paraId="42486E57" w14:textId="6726D620" w:rsidR="00FF7DA5" w:rsidRPr="00D237D6" w:rsidRDefault="001B2F4B" w:rsidP="00D237D6">
      <w:pPr>
        <w:pStyle w:val="NoSpacing"/>
        <w:spacing w:line="288" w:lineRule="auto"/>
        <w:rPr>
          <w:rFonts w:ascii="Arial" w:hAnsi="Arial" w:cs="Arial"/>
          <w:sz w:val="20"/>
          <w:szCs w:val="20"/>
        </w:rPr>
      </w:pPr>
      <w:r w:rsidRPr="00D237D6">
        <w:rPr>
          <w:rFonts w:ascii="Arial" w:hAnsi="Arial" w:cs="Arial"/>
          <w:sz w:val="20"/>
          <w:szCs w:val="20"/>
        </w:rPr>
        <w:t>ISMP launched its medication safety best practices for hospitals in 2014; as with the acute care version, the community pharmacy best practices will be updated as needed every two years.</w:t>
      </w:r>
      <w:r w:rsidR="00FF7DA5" w:rsidRPr="00D237D6">
        <w:rPr>
          <w:rFonts w:ascii="Arial" w:hAnsi="Arial" w:cs="Arial"/>
          <w:sz w:val="20"/>
          <w:szCs w:val="20"/>
        </w:rPr>
        <w:t xml:space="preserve"> </w:t>
      </w:r>
      <w:r w:rsidR="00EF2F22">
        <w:rPr>
          <w:rFonts w:ascii="Arial" w:hAnsi="Arial" w:cs="Arial"/>
          <w:sz w:val="20"/>
          <w:szCs w:val="20"/>
        </w:rPr>
        <w:t xml:space="preserve">Best practices are reviewed by an outside Expert Advisory Panel. </w:t>
      </w:r>
      <w:r w:rsidR="00FF7DA5" w:rsidRPr="00D237D6">
        <w:rPr>
          <w:rFonts w:ascii="Arial" w:hAnsi="Arial" w:cs="Arial"/>
          <w:sz w:val="20"/>
          <w:szCs w:val="20"/>
        </w:rPr>
        <w:t xml:space="preserve">The development of the </w:t>
      </w:r>
      <w:r w:rsidR="00FF7DA5" w:rsidRPr="005B3793">
        <w:rPr>
          <w:rStyle w:val="Emphasis"/>
          <w:rFonts w:ascii="Arial" w:hAnsi="Arial" w:cs="Arial"/>
          <w:i w:val="0"/>
          <w:iCs w:val="0"/>
          <w:spacing w:val="11"/>
          <w:sz w:val="20"/>
          <w:szCs w:val="20"/>
        </w:rPr>
        <w:t>2023-2024 ISMP Targeted Medication Safety Best Practices for Community Pharmacy</w:t>
      </w:r>
      <w:r w:rsidR="00FF7DA5" w:rsidRPr="00D237D6">
        <w:rPr>
          <w:rFonts w:ascii="Arial" w:hAnsi="Arial" w:cs="Arial"/>
          <w:sz w:val="20"/>
          <w:szCs w:val="20"/>
          <w:shd w:val="clear" w:color="auto" w:fill="FFFFFF"/>
        </w:rPr>
        <w:t xml:space="preserve"> was supported by </w:t>
      </w:r>
      <w:r w:rsidR="00FF7DA5" w:rsidRPr="00D237D6">
        <w:rPr>
          <w:rStyle w:val="mark4vmb5w1em"/>
          <w:rFonts w:ascii="Arial" w:hAnsi="Arial" w:cs="Arial"/>
          <w:sz w:val="20"/>
          <w:szCs w:val="20"/>
          <w:bdr w:val="none" w:sz="0" w:space="0" w:color="auto" w:frame="1"/>
          <w:shd w:val="clear" w:color="auto" w:fill="FFFFFF"/>
        </w:rPr>
        <w:t>Novartis, Name Creation &amp; Regulatory Strategy.</w:t>
      </w:r>
    </w:p>
    <w:p w14:paraId="59854EEC" w14:textId="77777777" w:rsidR="00E93D7A" w:rsidRPr="00031016" w:rsidRDefault="00E93D7A" w:rsidP="00B42B53">
      <w:pPr>
        <w:pStyle w:val="NormalWeb"/>
        <w:spacing w:before="0" w:beforeAutospacing="0" w:after="0" w:afterAutospacing="0" w:line="288" w:lineRule="auto"/>
        <w:rPr>
          <w:rFonts w:ascii="Arial" w:hAnsi="Arial" w:cs="Arial"/>
          <w:i/>
          <w:iCs/>
          <w:color w:val="141414"/>
          <w:spacing w:val="2"/>
          <w:sz w:val="20"/>
          <w:szCs w:val="20"/>
        </w:rPr>
      </w:pPr>
    </w:p>
    <w:p w14:paraId="62507CAD" w14:textId="6E175C24" w:rsidR="005C24BC" w:rsidRDefault="00031016" w:rsidP="00B42B53">
      <w:pPr>
        <w:rPr>
          <w:rFonts w:cs="Arial"/>
          <w:color w:val="141414"/>
          <w:spacing w:val="11"/>
        </w:rPr>
      </w:pPr>
      <w:r w:rsidRPr="00031016">
        <w:rPr>
          <w:rFonts w:cs="Arial"/>
          <w:color w:val="141414"/>
          <w:spacing w:val="11"/>
        </w:rPr>
        <w:t xml:space="preserve">For a copy of the new </w:t>
      </w:r>
      <w:r w:rsidR="00477D1D">
        <w:rPr>
          <w:rFonts w:cs="Arial"/>
          <w:color w:val="141414"/>
          <w:spacing w:val="11"/>
        </w:rPr>
        <w:t>b</w:t>
      </w:r>
      <w:r w:rsidRPr="00031016">
        <w:rPr>
          <w:rFonts w:cs="Arial"/>
          <w:color w:val="141414"/>
          <w:spacing w:val="11"/>
        </w:rPr>
        <w:t xml:space="preserve">est </w:t>
      </w:r>
      <w:r w:rsidR="00477D1D">
        <w:rPr>
          <w:rFonts w:cs="Arial"/>
          <w:color w:val="141414"/>
          <w:spacing w:val="11"/>
        </w:rPr>
        <w:t>p</w:t>
      </w:r>
      <w:r w:rsidRPr="00031016">
        <w:rPr>
          <w:rFonts w:cs="Arial"/>
          <w:color w:val="141414"/>
          <w:spacing w:val="11"/>
        </w:rPr>
        <w:t xml:space="preserve">ractices and an implementation worksheet </w:t>
      </w:r>
      <w:r w:rsidR="009D7E76">
        <w:rPr>
          <w:rFonts w:cs="Arial"/>
          <w:color w:val="141414"/>
          <w:spacing w:val="11"/>
        </w:rPr>
        <w:t>tool</w:t>
      </w:r>
      <w:r w:rsidRPr="00031016">
        <w:rPr>
          <w:rFonts w:cs="Arial"/>
          <w:color w:val="141414"/>
          <w:spacing w:val="11"/>
        </w:rPr>
        <w:t xml:space="preserve">, visit: </w:t>
      </w:r>
      <w:hyperlink r:id="rId10" w:history="1">
        <w:r w:rsidR="00DD411F">
          <w:rPr>
            <w:rStyle w:val="Hyperlink"/>
          </w:rPr>
          <w:t>Targeted Medication Safety Best Practices for Community Pharmacy | Institute For Safe Medication Practices (ismp.org)</w:t>
        </w:r>
      </w:hyperlink>
    </w:p>
    <w:p w14:paraId="5EA2CA77" w14:textId="77777777" w:rsidR="005C24BC" w:rsidRDefault="005C24BC" w:rsidP="00B42B53">
      <w:pPr>
        <w:rPr>
          <w:rFonts w:cs="Arial"/>
          <w:color w:val="141414"/>
          <w:spacing w:val="11"/>
        </w:rPr>
      </w:pPr>
    </w:p>
    <w:p w14:paraId="77BBCEF0" w14:textId="77777777" w:rsidR="0018121C" w:rsidRDefault="0018121C" w:rsidP="00CF38F0"/>
    <w:p w14:paraId="1CAB3B61" w14:textId="77777777" w:rsidR="00C05942" w:rsidRDefault="00C05942" w:rsidP="00CF38F0"/>
    <w:p w14:paraId="710BE766" w14:textId="77777777" w:rsidR="002827AA" w:rsidRPr="00982A39" w:rsidRDefault="002827AA" w:rsidP="00982A39"/>
    <w:p w14:paraId="4CA5C9C3" w14:textId="77777777" w:rsidR="00440567" w:rsidRPr="0064194A" w:rsidRDefault="00440567" w:rsidP="00440567">
      <w:pPr>
        <w:pStyle w:val="NormalWeb"/>
        <w:spacing w:before="0" w:beforeAutospacing="0" w:after="0" w:afterAutospacing="0"/>
        <w:rPr>
          <w:b/>
          <w:bCs/>
          <w:color w:val="000000"/>
          <w:spacing w:val="2"/>
          <w:sz w:val="20"/>
          <w:szCs w:val="20"/>
          <w:shd w:val="clear" w:color="auto" w:fill="FFFFFF"/>
        </w:rPr>
      </w:pPr>
      <w:r w:rsidRPr="0064194A">
        <w:rPr>
          <w:b/>
          <w:bCs/>
          <w:color w:val="000000"/>
          <w:spacing w:val="2"/>
          <w:sz w:val="20"/>
          <w:szCs w:val="20"/>
          <w:shd w:val="clear" w:color="auto" w:fill="FFFFFF"/>
        </w:rPr>
        <w:t>About the Institute for Safe Medication Practices</w:t>
      </w:r>
    </w:p>
    <w:p w14:paraId="2F5953E1" w14:textId="3F55669E" w:rsidR="00C87237" w:rsidRPr="0064194A" w:rsidRDefault="00440567" w:rsidP="00440567">
      <w:pPr>
        <w:pStyle w:val="NormalWeb"/>
        <w:shd w:val="clear" w:color="auto" w:fill="FFFFFF"/>
        <w:spacing w:before="0" w:beforeAutospacing="0" w:after="0" w:afterAutospacing="0"/>
        <w:rPr>
          <w:color w:val="141414"/>
          <w:sz w:val="20"/>
          <w:szCs w:val="20"/>
        </w:rPr>
      </w:pPr>
      <w:r w:rsidRPr="0064194A">
        <w:rPr>
          <w:color w:val="000000"/>
          <w:spacing w:val="2"/>
          <w:sz w:val="20"/>
          <w:szCs w:val="20"/>
          <w:shd w:val="clear" w:color="auto" w:fill="FFFFFF"/>
        </w:rPr>
        <w:t xml:space="preserve">The Institute for Safe Medication Practices (ISMP) is the nation’s first 501c (3) nonprofit organization devoted entirely to preventing medication errors. </w:t>
      </w:r>
      <w:r w:rsidRPr="0064194A">
        <w:rPr>
          <w:color w:val="141414"/>
          <w:sz w:val="20"/>
          <w:szCs w:val="20"/>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64194A">
          <w:rPr>
            <w:rStyle w:val="Hyperlink"/>
            <w:sz w:val="20"/>
            <w:szCs w:val="20"/>
          </w:rPr>
          <w:t>www.ismp.org</w:t>
        </w:r>
      </w:hyperlink>
      <w:r w:rsidRPr="0064194A">
        <w:rPr>
          <w:color w:val="141414"/>
          <w:sz w:val="20"/>
          <w:szCs w:val="20"/>
        </w:rPr>
        <w:t xml:space="preserve"> and follow @ismp_org to learn more. </w:t>
      </w:r>
    </w:p>
    <w:sectPr w:rsidR="00C87237" w:rsidRPr="0064194A" w:rsidSect="005C6A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8B65" w14:textId="77777777" w:rsidR="00737B0F" w:rsidRDefault="00737B0F" w:rsidP="00927FB4">
      <w:pPr>
        <w:spacing w:line="240" w:lineRule="auto"/>
      </w:pPr>
      <w:r>
        <w:separator/>
      </w:r>
    </w:p>
  </w:endnote>
  <w:endnote w:type="continuationSeparator" w:id="0">
    <w:p w14:paraId="6BE28D33" w14:textId="77777777" w:rsidR="00737B0F" w:rsidRDefault="00737B0F"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0D0E" w14:textId="77777777" w:rsidR="00737B0F" w:rsidRDefault="00737B0F" w:rsidP="00927FB4">
      <w:pPr>
        <w:spacing w:line="240" w:lineRule="auto"/>
      </w:pPr>
      <w:r>
        <w:separator/>
      </w:r>
    </w:p>
  </w:footnote>
  <w:footnote w:type="continuationSeparator" w:id="0">
    <w:p w14:paraId="742995E0" w14:textId="77777777" w:rsidR="00737B0F" w:rsidRDefault="00737B0F"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4A979"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510"/>
    <w:multiLevelType w:val="multilevel"/>
    <w:tmpl w:val="AEA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801"/>
    <w:multiLevelType w:val="hybridMultilevel"/>
    <w:tmpl w:val="1BC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A2BB8"/>
    <w:multiLevelType w:val="hybridMultilevel"/>
    <w:tmpl w:val="E55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24E2F"/>
    <w:multiLevelType w:val="hybridMultilevel"/>
    <w:tmpl w:val="36D8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20"/>
  </w:num>
  <w:num w:numId="2" w16cid:durableId="383483191">
    <w:abstractNumId w:val="2"/>
  </w:num>
  <w:num w:numId="3" w16cid:durableId="1050807565">
    <w:abstractNumId w:val="16"/>
  </w:num>
  <w:num w:numId="4" w16cid:durableId="398678945">
    <w:abstractNumId w:val="11"/>
  </w:num>
  <w:num w:numId="5" w16cid:durableId="774592396">
    <w:abstractNumId w:val="10"/>
  </w:num>
  <w:num w:numId="6" w16cid:durableId="1604805789">
    <w:abstractNumId w:val="13"/>
  </w:num>
  <w:num w:numId="7" w16cid:durableId="784926304">
    <w:abstractNumId w:val="6"/>
  </w:num>
  <w:num w:numId="8" w16cid:durableId="1082751713">
    <w:abstractNumId w:val="5"/>
  </w:num>
  <w:num w:numId="9" w16cid:durableId="1697733350">
    <w:abstractNumId w:val="22"/>
  </w:num>
  <w:num w:numId="10" w16cid:durableId="1731266383">
    <w:abstractNumId w:val="21"/>
  </w:num>
  <w:num w:numId="11" w16cid:durableId="48504938">
    <w:abstractNumId w:val="3"/>
  </w:num>
  <w:num w:numId="12" w16cid:durableId="1145470610">
    <w:abstractNumId w:val="12"/>
  </w:num>
  <w:num w:numId="13" w16cid:durableId="238442254">
    <w:abstractNumId w:val="17"/>
  </w:num>
  <w:num w:numId="14" w16cid:durableId="2128892862">
    <w:abstractNumId w:val="18"/>
  </w:num>
  <w:num w:numId="15" w16cid:durableId="1610114942">
    <w:abstractNumId w:val="15"/>
  </w:num>
  <w:num w:numId="16" w16cid:durableId="673414614">
    <w:abstractNumId w:val="0"/>
  </w:num>
  <w:num w:numId="17" w16cid:durableId="1532304121">
    <w:abstractNumId w:val="7"/>
  </w:num>
  <w:num w:numId="18" w16cid:durableId="131143079">
    <w:abstractNumId w:val="19"/>
  </w:num>
  <w:num w:numId="19" w16cid:durableId="65078602">
    <w:abstractNumId w:val="4"/>
  </w:num>
  <w:num w:numId="20" w16cid:durableId="914511101">
    <w:abstractNumId w:val="8"/>
  </w:num>
  <w:num w:numId="21" w16cid:durableId="841898652">
    <w:abstractNumId w:val="14"/>
  </w:num>
  <w:num w:numId="22" w16cid:durableId="1667516500">
    <w:abstractNumId w:val="9"/>
  </w:num>
  <w:num w:numId="23" w16cid:durableId="142168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31016"/>
    <w:rsid w:val="000328DB"/>
    <w:rsid w:val="000440F2"/>
    <w:rsid w:val="00053973"/>
    <w:rsid w:val="00067EE5"/>
    <w:rsid w:val="0007636A"/>
    <w:rsid w:val="0009186A"/>
    <w:rsid w:val="000951C2"/>
    <w:rsid w:val="000A4839"/>
    <w:rsid w:val="000C20B2"/>
    <w:rsid w:val="000C3608"/>
    <w:rsid w:val="000D28CE"/>
    <w:rsid w:val="000D4249"/>
    <w:rsid w:val="000D5D77"/>
    <w:rsid w:val="000D6B57"/>
    <w:rsid w:val="000E2592"/>
    <w:rsid w:val="000F125A"/>
    <w:rsid w:val="000F2BF6"/>
    <w:rsid w:val="00107C87"/>
    <w:rsid w:val="0011499F"/>
    <w:rsid w:val="001172EF"/>
    <w:rsid w:val="001317A5"/>
    <w:rsid w:val="001769E1"/>
    <w:rsid w:val="00180F5E"/>
    <w:rsid w:val="0018121C"/>
    <w:rsid w:val="001909D3"/>
    <w:rsid w:val="00192787"/>
    <w:rsid w:val="00194FA6"/>
    <w:rsid w:val="001A0028"/>
    <w:rsid w:val="001B2F4B"/>
    <w:rsid w:val="001E074F"/>
    <w:rsid w:val="001E10BC"/>
    <w:rsid w:val="001F37C7"/>
    <w:rsid w:val="00201FCB"/>
    <w:rsid w:val="00203C6C"/>
    <w:rsid w:val="0020657B"/>
    <w:rsid w:val="002272AD"/>
    <w:rsid w:val="00243DE4"/>
    <w:rsid w:val="0026602F"/>
    <w:rsid w:val="00273582"/>
    <w:rsid w:val="002827AA"/>
    <w:rsid w:val="00287C24"/>
    <w:rsid w:val="002A0275"/>
    <w:rsid w:val="002B169E"/>
    <w:rsid w:val="002B7A6A"/>
    <w:rsid w:val="002C29EC"/>
    <w:rsid w:val="00304761"/>
    <w:rsid w:val="00306481"/>
    <w:rsid w:val="00317BA2"/>
    <w:rsid w:val="00324633"/>
    <w:rsid w:val="003559C4"/>
    <w:rsid w:val="00365315"/>
    <w:rsid w:val="00365D0F"/>
    <w:rsid w:val="003848EF"/>
    <w:rsid w:val="003930B4"/>
    <w:rsid w:val="003978E8"/>
    <w:rsid w:val="003A07D5"/>
    <w:rsid w:val="003A5F72"/>
    <w:rsid w:val="003A6A39"/>
    <w:rsid w:val="003C2599"/>
    <w:rsid w:val="003C3E0F"/>
    <w:rsid w:val="003C725A"/>
    <w:rsid w:val="003D259D"/>
    <w:rsid w:val="003D39E9"/>
    <w:rsid w:val="003E5B02"/>
    <w:rsid w:val="003E5D0D"/>
    <w:rsid w:val="003E6EA8"/>
    <w:rsid w:val="003F0BB3"/>
    <w:rsid w:val="003F0FBF"/>
    <w:rsid w:val="003F21F5"/>
    <w:rsid w:val="003F42C6"/>
    <w:rsid w:val="00406C83"/>
    <w:rsid w:val="00440567"/>
    <w:rsid w:val="00447241"/>
    <w:rsid w:val="004500A2"/>
    <w:rsid w:val="004526CD"/>
    <w:rsid w:val="0047646D"/>
    <w:rsid w:val="00477D1D"/>
    <w:rsid w:val="00484E5F"/>
    <w:rsid w:val="004A03C8"/>
    <w:rsid w:val="004B25AA"/>
    <w:rsid w:val="004D3D49"/>
    <w:rsid w:val="004D4E2B"/>
    <w:rsid w:val="004D562C"/>
    <w:rsid w:val="004E0AF7"/>
    <w:rsid w:val="004E13E1"/>
    <w:rsid w:val="004E1AE4"/>
    <w:rsid w:val="004F077D"/>
    <w:rsid w:val="004F13A3"/>
    <w:rsid w:val="004F34FD"/>
    <w:rsid w:val="00501738"/>
    <w:rsid w:val="00507032"/>
    <w:rsid w:val="0052572B"/>
    <w:rsid w:val="005303C8"/>
    <w:rsid w:val="00533725"/>
    <w:rsid w:val="00536CF2"/>
    <w:rsid w:val="005418E5"/>
    <w:rsid w:val="005514B9"/>
    <w:rsid w:val="00552443"/>
    <w:rsid w:val="0055644A"/>
    <w:rsid w:val="00557245"/>
    <w:rsid w:val="005577AB"/>
    <w:rsid w:val="005631BC"/>
    <w:rsid w:val="005649F1"/>
    <w:rsid w:val="00575650"/>
    <w:rsid w:val="00576BC5"/>
    <w:rsid w:val="005870AB"/>
    <w:rsid w:val="0059006B"/>
    <w:rsid w:val="005B258A"/>
    <w:rsid w:val="005B2E00"/>
    <w:rsid w:val="005B3793"/>
    <w:rsid w:val="005B3E33"/>
    <w:rsid w:val="005B4E7C"/>
    <w:rsid w:val="005C24BC"/>
    <w:rsid w:val="005C6AC8"/>
    <w:rsid w:val="005C6BD1"/>
    <w:rsid w:val="005D0F96"/>
    <w:rsid w:val="005E35E1"/>
    <w:rsid w:val="005E6D24"/>
    <w:rsid w:val="0060450E"/>
    <w:rsid w:val="00604F7A"/>
    <w:rsid w:val="0060621D"/>
    <w:rsid w:val="00606B12"/>
    <w:rsid w:val="00615E56"/>
    <w:rsid w:val="00616199"/>
    <w:rsid w:val="00624ACF"/>
    <w:rsid w:val="00630BBC"/>
    <w:rsid w:val="0064194A"/>
    <w:rsid w:val="00653FFB"/>
    <w:rsid w:val="00655215"/>
    <w:rsid w:val="006772FD"/>
    <w:rsid w:val="006839E3"/>
    <w:rsid w:val="00683F08"/>
    <w:rsid w:val="006906F0"/>
    <w:rsid w:val="00690BC0"/>
    <w:rsid w:val="006938E8"/>
    <w:rsid w:val="006C2AF9"/>
    <w:rsid w:val="006D034F"/>
    <w:rsid w:val="006D3941"/>
    <w:rsid w:val="006D4D61"/>
    <w:rsid w:val="0070630B"/>
    <w:rsid w:val="007150D6"/>
    <w:rsid w:val="007200B6"/>
    <w:rsid w:val="0072017C"/>
    <w:rsid w:val="00721C72"/>
    <w:rsid w:val="00737B0F"/>
    <w:rsid w:val="00747C7E"/>
    <w:rsid w:val="00761660"/>
    <w:rsid w:val="0077071F"/>
    <w:rsid w:val="007864DF"/>
    <w:rsid w:val="007938AC"/>
    <w:rsid w:val="0079417A"/>
    <w:rsid w:val="00794387"/>
    <w:rsid w:val="007969A9"/>
    <w:rsid w:val="007C23C4"/>
    <w:rsid w:val="007C500C"/>
    <w:rsid w:val="007C506E"/>
    <w:rsid w:val="007D3140"/>
    <w:rsid w:val="007D75C3"/>
    <w:rsid w:val="007F2FDF"/>
    <w:rsid w:val="007F4443"/>
    <w:rsid w:val="007F5874"/>
    <w:rsid w:val="00820A6E"/>
    <w:rsid w:val="008400F7"/>
    <w:rsid w:val="008670E5"/>
    <w:rsid w:val="00876FA5"/>
    <w:rsid w:val="00887EEC"/>
    <w:rsid w:val="0089348B"/>
    <w:rsid w:val="008935ED"/>
    <w:rsid w:val="008A5BB3"/>
    <w:rsid w:val="008B7600"/>
    <w:rsid w:val="008C32A1"/>
    <w:rsid w:val="008D05AA"/>
    <w:rsid w:val="008E1DF1"/>
    <w:rsid w:val="008E4C6B"/>
    <w:rsid w:val="00914089"/>
    <w:rsid w:val="00916EA0"/>
    <w:rsid w:val="009215CA"/>
    <w:rsid w:val="00927854"/>
    <w:rsid w:val="00927FB4"/>
    <w:rsid w:val="00937578"/>
    <w:rsid w:val="00941EB1"/>
    <w:rsid w:val="0094334A"/>
    <w:rsid w:val="0094400B"/>
    <w:rsid w:val="00947A3B"/>
    <w:rsid w:val="009632BC"/>
    <w:rsid w:val="009666D6"/>
    <w:rsid w:val="009733EC"/>
    <w:rsid w:val="00975261"/>
    <w:rsid w:val="0097698C"/>
    <w:rsid w:val="009806C8"/>
    <w:rsid w:val="00982A39"/>
    <w:rsid w:val="00993741"/>
    <w:rsid w:val="009B4B91"/>
    <w:rsid w:val="009C237F"/>
    <w:rsid w:val="009C6EA8"/>
    <w:rsid w:val="009D7A75"/>
    <w:rsid w:val="009D7E76"/>
    <w:rsid w:val="009F45E6"/>
    <w:rsid w:val="00A130F6"/>
    <w:rsid w:val="00A20B12"/>
    <w:rsid w:val="00A23A47"/>
    <w:rsid w:val="00A37037"/>
    <w:rsid w:val="00A44909"/>
    <w:rsid w:val="00A60686"/>
    <w:rsid w:val="00A61952"/>
    <w:rsid w:val="00A66915"/>
    <w:rsid w:val="00A73222"/>
    <w:rsid w:val="00A948D1"/>
    <w:rsid w:val="00AA0905"/>
    <w:rsid w:val="00AA6519"/>
    <w:rsid w:val="00AB60FC"/>
    <w:rsid w:val="00AC07B2"/>
    <w:rsid w:val="00AD6957"/>
    <w:rsid w:val="00AF0E99"/>
    <w:rsid w:val="00AF6F1B"/>
    <w:rsid w:val="00B01C38"/>
    <w:rsid w:val="00B03D0B"/>
    <w:rsid w:val="00B072D6"/>
    <w:rsid w:val="00B0796C"/>
    <w:rsid w:val="00B11A21"/>
    <w:rsid w:val="00B20BDF"/>
    <w:rsid w:val="00B2612D"/>
    <w:rsid w:val="00B34D71"/>
    <w:rsid w:val="00B3734E"/>
    <w:rsid w:val="00B42B53"/>
    <w:rsid w:val="00B62843"/>
    <w:rsid w:val="00B63AD0"/>
    <w:rsid w:val="00B66B9F"/>
    <w:rsid w:val="00B72C83"/>
    <w:rsid w:val="00B74754"/>
    <w:rsid w:val="00B76188"/>
    <w:rsid w:val="00B8455F"/>
    <w:rsid w:val="00B85284"/>
    <w:rsid w:val="00B930AB"/>
    <w:rsid w:val="00BB592E"/>
    <w:rsid w:val="00BB761A"/>
    <w:rsid w:val="00BB78AB"/>
    <w:rsid w:val="00BD09A5"/>
    <w:rsid w:val="00BD3A64"/>
    <w:rsid w:val="00BF1EEA"/>
    <w:rsid w:val="00C03A8F"/>
    <w:rsid w:val="00C05942"/>
    <w:rsid w:val="00C07D03"/>
    <w:rsid w:val="00C10558"/>
    <w:rsid w:val="00C11EBC"/>
    <w:rsid w:val="00C16203"/>
    <w:rsid w:val="00C217FD"/>
    <w:rsid w:val="00C37F76"/>
    <w:rsid w:val="00C42975"/>
    <w:rsid w:val="00C45BBC"/>
    <w:rsid w:val="00C52AD0"/>
    <w:rsid w:val="00C62A62"/>
    <w:rsid w:val="00C8274E"/>
    <w:rsid w:val="00C87237"/>
    <w:rsid w:val="00C95083"/>
    <w:rsid w:val="00CE0FC6"/>
    <w:rsid w:val="00CE3719"/>
    <w:rsid w:val="00CE4A67"/>
    <w:rsid w:val="00CF38F0"/>
    <w:rsid w:val="00D102A5"/>
    <w:rsid w:val="00D114A5"/>
    <w:rsid w:val="00D237D6"/>
    <w:rsid w:val="00D24888"/>
    <w:rsid w:val="00D277D7"/>
    <w:rsid w:val="00D35FD8"/>
    <w:rsid w:val="00D4070C"/>
    <w:rsid w:val="00D5092F"/>
    <w:rsid w:val="00D50E55"/>
    <w:rsid w:val="00D5197D"/>
    <w:rsid w:val="00D6669D"/>
    <w:rsid w:val="00D85D36"/>
    <w:rsid w:val="00D87B15"/>
    <w:rsid w:val="00DB51D7"/>
    <w:rsid w:val="00DB6DE5"/>
    <w:rsid w:val="00DC525C"/>
    <w:rsid w:val="00DC5E14"/>
    <w:rsid w:val="00DD411F"/>
    <w:rsid w:val="00DD7C5F"/>
    <w:rsid w:val="00E0371E"/>
    <w:rsid w:val="00E075A6"/>
    <w:rsid w:val="00E474D1"/>
    <w:rsid w:val="00E519BB"/>
    <w:rsid w:val="00E64C59"/>
    <w:rsid w:val="00E7077B"/>
    <w:rsid w:val="00E7430B"/>
    <w:rsid w:val="00E85683"/>
    <w:rsid w:val="00E85973"/>
    <w:rsid w:val="00E93D7A"/>
    <w:rsid w:val="00E94BFA"/>
    <w:rsid w:val="00EA61EE"/>
    <w:rsid w:val="00EC1BB2"/>
    <w:rsid w:val="00ED174A"/>
    <w:rsid w:val="00EE245C"/>
    <w:rsid w:val="00EF028A"/>
    <w:rsid w:val="00EF2F22"/>
    <w:rsid w:val="00F22EF7"/>
    <w:rsid w:val="00F24310"/>
    <w:rsid w:val="00F34ACA"/>
    <w:rsid w:val="00F4090A"/>
    <w:rsid w:val="00F5336F"/>
    <w:rsid w:val="00F5545F"/>
    <w:rsid w:val="00F70B19"/>
    <w:rsid w:val="00F83B93"/>
    <w:rsid w:val="00F86771"/>
    <w:rsid w:val="00FA6937"/>
    <w:rsid w:val="00FA6C1C"/>
    <w:rsid w:val="00FB5307"/>
    <w:rsid w:val="00FB5A4F"/>
    <w:rsid w:val="00FC79B1"/>
    <w:rsid w:val="00FD5CD2"/>
    <w:rsid w:val="00FE0A48"/>
    <w:rsid w:val="00FF0ACE"/>
    <w:rsid w:val="00FF7DA5"/>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 w:type="paragraph" w:styleId="NoSpacing">
    <w:name w:val="No Spacing"/>
    <w:uiPriority w:val="1"/>
    <w:qFormat/>
    <w:rsid w:val="00031016"/>
    <w:pPr>
      <w:spacing w:after="0" w:line="240" w:lineRule="auto"/>
    </w:pPr>
    <w:rPr>
      <w:rFonts w:ascii="Calibri" w:eastAsia="Calibri" w:hAnsi="Calibri" w:cs="Times New Roman"/>
    </w:rPr>
  </w:style>
  <w:style w:type="character" w:customStyle="1" w:styleId="mark4vmb5w1em">
    <w:name w:val="mark4vmb5w1em"/>
    <w:basedOn w:val="DefaultParagraphFont"/>
    <w:rsid w:val="00FF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689746009">
      <w:bodyDiv w:val="1"/>
      <w:marLeft w:val="0"/>
      <w:marRight w:val="0"/>
      <w:marTop w:val="0"/>
      <w:marBottom w:val="0"/>
      <w:divBdr>
        <w:top w:val="none" w:sz="0" w:space="0" w:color="auto"/>
        <w:left w:val="none" w:sz="0" w:space="0" w:color="auto"/>
        <w:bottom w:val="none" w:sz="0" w:space="0" w:color="auto"/>
        <w:right w:val="none" w:sz="0" w:space="0" w:color="auto"/>
      </w:divBdr>
      <w:divsChild>
        <w:div w:id="1351488007">
          <w:marLeft w:val="0"/>
          <w:marRight w:val="0"/>
          <w:marTop w:val="150"/>
          <w:marBottom w:val="225"/>
          <w:divBdr>
            <w:top w:val="none" w:sz="0" w:space="0" w:color="auto"/>
            <w:left w:val="none" w:sz="0" w:space="0" w:color="auto"/>
            <w:bottom w:val="none" w:sz="0" w:space="0" w:color="auto"/>
            <w:right w:val="none" w:sz="0" w:space="0" w:color="auto"/>
          </w:divBdr>
        </w:div>
        <w:div w:id="764422106">
          <w:marLeft w:val="0"/>
          <w:marRight w:val="0"/>
          <w:marTop w:val="0"/>
          <w:marBottom w:val="0"/>
          <w:divBdr>
            <w:top w:val="none" w:sz="0" w:space="0" w:color="auto"/>
            <w:left w:val="none" w:sz="0" w:space="0" w:color="auto"/>
            <w:bottom w:val="none" w:sz="0" w:space="0" w:color="auto"/>
            <w:right w:val="none" w:sz="0" w:space="0" w:color="auto"/>
          </w:divBdr>
        </w:div>
      </w:divsChild>
    </w:div>
    <w:div w:id="1936672033">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mp.org/guidelines/best-practices-community-pharm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2023-03-07T14:48:00Z</cp:lastPrinted>
  <dcterms:created xsi:type="dcterms:W3CDTF">2023-04-04T18:57:00Z</dcterms:created>
  <dcterms:modified xsi:type="dcterms:W3CDTF">2023-04-04T18:57:00Z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