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440567">
        <w:trPr>
          <w:trHeight w:val="288"/>
        </w:trPr>
        <w:tc>
          <w:tcPr>
            <w:tcW w:w="4096"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5264"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440567">
        <w:trPr>
          <w:trHeight w:val="360"/>
        </w:trPr>
        <w:tc>
          <w:tcPr>
            <w:tcW w:w="4096" w:type="dxa"/>
            <w:shd w:val="clear" w:color="auto" w:fill="auto"/>
            <w:vAlign w:val="bottom"/>
          </w:tcPr>
          <w:p w14:paraId="7AF6B19A" w14:textId="18CE684A" w:rsidR="0000512C" w:rsidRPr="006B6780" w:rsidRDefault="00306481" w:rsidP="00FC7ACF">
            <w:r w:rsidRPr="00F24310">
              <w:t xml:space="preserve">January </w:t>
            </w:r>
            <w:r w:rsidR="00D102A5" w:rsidRPr="00F24310">
              <w:t>26</w:t>
            </w:r>
            <w:r w:rsidR="0000512C" w:rsidRPr="00576BC5">
              <w:t>,</w:t>
            </w:r>
            <w:r w:rsidR="0000512C" w:rsidRPr="004D3D49">
              <w:t xml:space="preserve"> 202</w:t>
            </w:r>
            <w:r>
              <w:t>3</w:t>
            </w:r>
          </w:p>
        </w:tc>
        <w:tc>
          <w:tcPr>
            <w:tcW w:w="5264"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440567">
        <w:trPr>
          <w:trHeight w:val="360"/>
        </w:trPr>
        <w:tc>
          <w:tcPr>
            <w:tcW w:w="4096" w:type="dxa"/>
            <w:shd w:val="clear" w:color="auto" w:fill="auto"/>
            <w:vAlign w:val="bottom"/>
          </w:tcPr>
          <w:p w14:paraId="74FE7BC4" w14:textId="77777777" w:rsidR="0000512C" w:rsidRPr="006B6780" w:rsidRDefault="0000512C" w:rsidP="00FC7ACF"/>
        </w:tc>
        <w:tc>
          <w:tcPr>
            <w:tcW w:w="5264" w:type="dxa"/>
            <w:shd w:val="clear" w:color="auto" w:fill="auto"/>
            <w:vAlign w:val="bottom"/>
          </w:tcPr>
          <w:p w14:paraId="61DEF72D" w14:textId="77777777" w:rsidR="0000512C" w:rsidRDefault="0000512C" w:rsidP="00FC7ACF">
            <w:r>
              <w:t>rbrehio@ismp.org • 614-376-0212</w:t>
            </w:r>
          </w:p>
        </w:tc>
      </w:tr>
    </w:tbl>
    <w:p w14:paraId="23FC235A" w14:textId="5E14EFB6" w:rsidR="00616199" w:rsidRDefault="00440567" w:rsidP="000D6B57">
      <w:pPr>
        <w:pStyle w:val="Heading2"/>
        <w:spacing w:before="600" w:after="120"/>
        <w:jc w:val="center"/>
        <w:rPr>
          <w:sz w:val="32"/>
          <w:szCs w:val="32"/>
        </w:rPr>
      </w:pPr>
      <w:r w:rsidRPr="001F37C7">
        <w:rPr>
          <w:sz w:val="32"/>
          <w:szCs w:val="32"/>
        </w:rPr>
        <w:t xml:space="preserve">ISMP </w:t>
      </w:r>
      <w:r w:rsidR="000C3608">
        <w:rPr>
          <w:sz w:val="32"/>
          <w:szCs w:val="32"/>
        </w:rPr>
        <w:t>Adds</w:t>
      </w:r>
      <w:r w:rsidR="007938AC">
        <w:rPr>
          <w:sz w:val="32"/>
          <w:szCs w:val="32"/>
        </w:rPr>
        <w:t xml:space="preserve"> </w:t>
      </w:r>
      <w:r w:rsidR="004E13E1">
        <w:rPr>
          <w:sz w:val="32"/>
          <w:szCs w:val="32"/>
        </w:rPr>
        <w:t>Seven</w:t>
      </w:r>
      <w:r w:rsidR="000C3608">
        <w:rPr>
          <w:sz w:val="32"/>
          <w:szCs w:val="32"/>
        </w:rPr>
        <w:t xml:space="preserve"> </w:t>
      </w:r>
      <w:r w:rsidR="007938AC">
        <w:rPr>
          <w:sz w:val="32"/>
          <w:szCs w:val="32"/>
        </w:rPr>
        <w:t>Name</w:t>
      </w:r>
      <w:r w:rsidR="000C3608">
        <w:rPr>
          <w:sz w:val="32"/>
          <w:szCs w:val="32"/>
        </w:rPr>
        <w:t xml:space="preserve"> Pairs</w:t>
      </w:r>
      <w:r w:rsidR="007938AC">
        <w:rPr>
          <w:sz w:val="32"/>
          <w:szCs w:val="32"/>
        </w:rPr>
        <w:t xml:space="preserve"> </w:t>
      </w:r>
      <w:r w:rsidR="000C3608">
        <w:rPr>
          <w:sz w:val="32"/>
          <w:szCs w:val="32"/>
        </w:rPr>
        <w:t>to List of</w:t>
      </w:r>
      <w:r w:rsidR="00C10558">
        <w:rPr>
          <w:sz w:val="32"/>
          <w:szCs w:val="32"/>
        </w:rPr>
        <w:t xml:space="preserve">                                         Drug Names with </w:t>
      </w:r>
      <w:r w:rsidR="007938AC">
        <w:rPr>
          <w:sz w:val="32"/>
          <w:szCs w:val="32"/>
        </w:rPr>
        <w:t>Tall Man (Mixed Case) Letters</w:t>
      </w:r>
    </w:p>
    <w:p w14:paraId="3C1E1C98" w14:textId="655960A5" w:rsidR="005649F1" w:rsidRPr="00E7077B" w:rsidRDefault="00324633" w:rsidP="003D259D">
      <w:pPr>
        <w:pStyle w:val="Heading2"/>
        <w:spacing w:before="0" w:after="480"/>
        <w:jc w:val="center"/>
        <w:rPr>
          <w:rFonts w:ascii="Calibri Light" w:hAnsi="Calibri Light" w:cs="Calibri Light"/>
          <w:b w:val="0"/>
          <w:bCs/>
          <w:color w:val="1F3864" w:themeColor="accent1" w:themeShade="80"/>
          <w:sz w:val="32"/>
          <w:szCs w:val="32"/>
        </w:rPr>
      </w:pPr>
      <w:r>
        <w:rPr>
          <w:rFonts w:ascii="Calibri Light" w:hAnsi="Calibri Light" w:cs="Calibri Light"/>
          <w:b w:val="0"/>
          <w:bCs/>
          <w:i/>
          <w:iCs/>
          <w:color w:val="1F3864" w:themeColor="accent1" w:themeShade="80"/>
          <w:sz w:val="22"/>
          <w:szCs w:val="22"/>
        </w:rPr>
        <w:t xml:space="preserve">Majority of Survey Respondents Agree Tall Man </w:t>
      </w:r>
      <w:r w:rsidR="000C3608">
        <w:rPr>
          <w:rFonts w:ascii="Calibri Light" w:hAnsi="Calibri Light" w:cs="Calibri Light"/>
          <w:b w:val="0"/>
          <w:bCs/>
          <w:i/>
          <w:iCs/>
          <w:color w:val="1F3864" w:themeColor="accent1" w:themeShade="80"/>
          <w:sz w:val="22"/>
          <w:szCs w:val="22"/>
        </w:rPr>
        <w:t xml:space="preserve">Lettering Helps </w:t>
      </w:r>
      <w:r>
        <w:rPr>
          <w:rFonts w:ascii="Calibri Light" w:hAnsi="Calibri Light" w:cs="Calibri Light"/>
          <w:b w:val="0"/>
          <w:bCs/>
          <w:i/>
          <w:iCs/>
          <w:color w:val="1F3864" w:themeColor="accent1" w:themeShade="80"/>
          <w:sz w:val="22"/>
          <w:szCs w:val="22"/>
        </w:rPr>
        <w:t>Prevent Errors</w:t>
      </w:r>
      <w:r w:rsidR="00E7077B">
        <w:rPr>
          <w:rFonts w:ascii="Calibri Light" w:hAnsi="Calibri Light" w:cs="Calibri Light"/>
          <w:b w:val="0"/>
          <w:bCs/>
          <w:i/>
          <w:iCs/>
          <w:color w:val="1F3864" w:themeColor="accent1" w:themeShade="80"/>
          <w:sz w:val="22"/>
          <w:szCs w:val="22"/>
        </w:rPr>
        <w:t xml:space="preserve"> </w:t>
      </w:r>
      <w:r w:rsidR="005649F1" w:rsidRPr="00E7077B">
        <w:rPr>
          <w:rFonts w:ascii="Calibri Light" w:hAnsi="Calibri Light" w:cs="Calibri Light"/>
          <w:b w:val="0"/>
          <w:bCs/>
          <w:i/>
          <w:iCs/>
          <w:color w:val="1F3864" w:themeColor="accent1" w:themeShade="80"/>
          <w:sz w:val="22"/>
          <w:szCs w:val="22"/>
        </w:rPr>
        <w:t xml:space="preserve"> </w:t>
      </w:r>
    </w:p>
    <w:p w14:paraId="40D96DEA" w14:textId="68CC3AFF" w:rsidR="00C87237" w:rsidRDefault="00440567" w:rsidP="00BB78AB">
      <w:r w:rsidRPr="00440567">
        <w:rPr>
          <w:b/>
          <w:bCs/>
        </w:rPr>
        <w:t>Plymouth Meeting, Pa.</w:t>
      </w:r>
      <w:r w:rsidRPr="00440567">
        <w:t xml:space="preserve"> –</w:t>
      </w:r>
      <w:r w:rsidR="000C3608">
        <w:t>Recent</w:t>
      </w:r>
      <w:r w:rsidR="004E13E1">
        <w:t>ly</w:t>
      </w:r>
      <w:r w:rsidR="000C3608">
        <w:t xml:space="preserve"> </w:t>
      </w:r>
      <w:r w:rsidR="004E13E1">
        <w:t>t</w:t>
      </w:r>
      <w:r w:rsidR="00794387">
        <w:t xml:space="preserve">he Institute for Safe Medication Practices (ISMP) </w:t>
      </w:r>
      <w:r w:rsidR="000C3608">
        <w:t xml:space="preserve">updated its list of </w:t>
      </w:r>
      <w:r w:rsidR="00C10558">
        <w:t xml:space="preserve">medication name pairs with recommended </w:t>
      </w:r>
      <w:r w:rsidR="000C3608">
        <w:t>tall man letters, which are intended to differentiate look-alike</w:t>
      </w:r>
      <w:r w:rsidR="00E94BFA">
        <w:t xml:space="preserve"> drug</w:t>
      </w:r>
      <w:r w:rsidR="000C3608">
        <w:t xml:space="preserve"> names</w:t>
      </w:r>
      <w:r w:rsidR="00C10558">
        <w:t xml:space="preserve"> using</w:t>
      </w:r>
      <w:r w:rsidR="000C3608">
        <w:t xml:space="preserve"> </w:t>
      </w:r>
      <w:r w:rsidR="00C10558">
        <w:t>uppercase and bolded text</w:t>
      </w:r>
      <w:r w:rsidR="00747C7E">
        <w:t xml:space="preserve">. </w:t>
      </w:r>
      <w:r w:rsidR="004E13E1">
        <w:t xml:space="preserve">Changes included adding new pairs based on </w:t>
      </w:r>
      <w:r w:rsidR="00F34ACA">
        <w:t xml:space="preserve">analysis of reported events and input from an ISMP </w:t>
      </w:r>
      <w:r w:rsidR="00C10558">
        <w:t>survey</w:t>
      </w:r>
      <w:r w:rsidR="00F34ACA">
        <w:t xml:space="preserve"> of healthcare practitioners</w:t>
      </w:r>
      <w:r w:rsidR="004E13E1">
        <w:t xml:space="preserve">. </w:t>
      </w:r>
      <w:r w:rsidR="00F34ACA">
        <w:t>S</w:t>
      </w:r>
      <w:r w:rsidR="004E13E1">
        <w:t xml:space="preserve">urvey </w:t>
      </w:r>
      <w:r w:rsidR="00C10558">
        <w:t>participants</w:t>
      </w:r>
      <w:r w:rsidR="004E13E1">
        <w:t xml:space="preserve"> </w:t>
      </w:r>
      <w:r w:rsidR="002B7A6A">
        <w:t>confirmed</w:t>
      </w:r>
      <w:r w:rsidR="004E13E1">
        <w:t xml:space="preserve"> that the use of tall man lettering </w:t>
      </w:r>
      <w:r w:rsidR="00E94BFA">
        <w:t xml:space="preserve">is an important </w:t>
      </w:r>
      <w:r w:rsidR="00C217FD">
        <w:t>risk-reduction strategy</w:t>
      </w:r>
      <w:r w:rsidR="004E13E1">
        <w:t>.</w:t>
      </w:r>
    </w:p>
    <w:p w14:paraId="77BBCEF0" w14:textId="77777777" w:rsidR="0018121C" w:rsidRDefault="0018121C" w:rsidP="00CF38F0"/>
    <w:p w14:paraId="195FC66E" w14:textId="50536406" w:rsidR="0018121C" w:rsidRDefault="004E13E1" w:rsidP="00CF38F0">
      <w:r>
        <w:t>Since 2008, ISMP has maintained a list of drug names with recommended uppercase and bolded letters, mostly pairs</w:t>
      </w:r>
      <w:r w:rsidR="00E94BFA">
        <w:t xml:space="preserve"> involving two generic drugs</w:t>
      </w:r>
      <w:r>
        <w:t xml:space="preserve">. </w:t>
      </w:r>
      <w:r w:rsidR="002B7A6A">
        <w:t xml:space="preserve">The majority of </w:t>
      </w:r>
      <w:r>
        <w:t xml:space="preserve">respondents to ISMP’s recent survey </w:t>
      </w:r>
      <w:r w:rsidR="00C10558">
        <w:t xml:space="preserve">(95%) </w:t>
      </w:r>
      <w:r w:rsidR="00E94BFA">
        <w:t>agreed</w:t>
      </w:r>
      <w:r>
        <w:t xml:space="preserve"> that the use of tall man letters by the pharmaceutical industry on product and carton labels helps </w:t>
      </w:r>
      <w:r w:rsidR="00C10558">
        <w:t>prevent</w:t>
      </w:r>
      <w:r>
        <w:t xml:space="preserve"> errors. In addition, 87% of respondents were able to recall one or more instances when tall man lettering had prevented them </w:t>
      </w:r>
      <w:r w:rsidR="00E94BFA">
        <w:t xml:space="preserve">personally </w:t>
      </w:r>
      <w:r>
        <w:t>from prescribing, transcribing, dispensing, or administering the wrong medication.</w:t>
      </w:r>
    </w:p>
    <w:p w14:paraId="4CA1312D" w14:textId="77777777" w:rsidR="004E13E1" w:rsidRDefault="004E13E1" w:rsidP="00CF38F0"/>
    <w:p w14:paraId="17D74D93" w14:textId="7E0035A7" w:rsidR="004E13E1" w:rsidRDefault="004E13E1" w:rsidP="00CF38F0">
      <w:r>
        <w:t>“</w:t>
      </w:r>
      <w:r w:rsidR="00E94BFA">
        <w:t>T</w:t>
      </w:r>
      <w:r>
        <w:t xml:space="preserve">all man lettering is </w:t>
      </w:r>
      <w:r w:rsidR="002B7A6A">
        <w:t xml:space="preserve">clearly </w:t>
      </w:r>
      <w:r>
        <w:t xml:space="preserve">an effective way to help prevent errors, and can be done at low or no cost,” says </w:t>
      </w:r>
      <w:r w:rsidR="00BB78AB">
        <w:t xml:space="preserve">ISMP President </w:t>
      </w:r>
      <w:r w:rsidR="00BB78AB" w:rsidRPr="00DC538A">
        <w:rPr>
          <w:rFonts w:cs="Arial"/>
          <w:color w:val="141414"/>
          <w:spacing w:val="2"/>
          <w:shd w:val="clear" w:color="auto" w:fill="FFFFFF"/>
        </w:rPr>
        <w:t xml:space="preserve">Rita </w:t>
      </w:r>
      <w:r w:rsidR="00BB78AB">
        <w:rPr>
          <w:rFonts w:cs="Arial"/>
          <w:color w:val="141414"/>
          <w:spacing w:val="2"/>
          <w:shd w:val="clear" w:color="auto" w:fill="FFFFFF"/>
        </w:rPr>
        <w:t xml:space="preserve">K. </w:t>
      </w:r>
      <w:r w:rsidR="00BB78AB" w:rsidRPr="00DC538A">
        <w:rPr>
          <w:rFonts w:cs="Arial"/>
          <w:color w:val="141414"/>
          <w:spacing w:val="2"/>
          <w:shd w:val="clear" w:color="auto" w:fill="FFFFFF"/>
        </w:rPr>
        <w:t>Jew, PharmD, MBA, BCPPS, FASHP</w:t>
      </w:r>
      <w:r>
        <w:t xml:space="preserve">. “ISMP </w:t>
      </w:r>
      <w:r w:rsidR="00BB78AB">
        <w:t xml:space="preserve">strongly </w:t>
      </w:r>
      <w:r>
        <w:t xml:space="preserve">encourages FDA, pharmaceutical </w:t>
      </w:r>
      <w:r w:rsidR="002B7A6A">
        <w:t>industry</w:t>
      </w:r>
      <w:r>
        <w:t>, outsourcers and compounders, hospitals, and other practice sites to continue to use tall man lettering while further studies examine the best way to differentiate look-alike names when selecting drug containers from a shelf or from listings on a computer or device screen.”</w:t>
      </w:r>
    </w:p>
    <w:p w14:paraId="35FEFAC6" w14:textId="77777777" w:rsidR="00982A39" w:rsidRDefault="00982A39" w:rsidP="00982A39"/>
    <w:p w14:paraId="7BFBDCE8" w14:textId="66F9C25C" w:rsidR="004E0AF7" w:rsidRDefault="00C10558" w:rsidP="00982A39">
      <w:r>
        <w:t xml:space="preserve">The new </w:t>
      </w:r>
      <w:r w:rsidR="00F34ACA">
        <w:t xml:space="preserve">name </w:t>
      </w:r>
      <w:r>
        <w:t>pairs that have been added are:</w:t>
      </w:r>
    </w:p>
    <w:p w14:paraId="6B03F52A" w14:textId="69115257" w:rsidR="004E0AF7" w:rsidRPr="004E0AF7" w:rsidRDefault="004E0AF7" w:rsidP="004E0AF7">
      <w:pPr>
        <w:numPr>
          <w:ilvl w:val="0"/>
          <w:numId w:val="21"/>
        </w:numPr>
        <w:spacing w:line="240" w:lineRule="auto"/>
        <w:contextualSpacing/>
        <w:rPr>
          <w:rFonts w:eastAsia="Calibri" w:cs="Arial"/>
        </w:rPr>
      </w:pPr>
      <w:proofErr w:type="spellStart"/>
      <w:r w:rsidRPr="004E0AF7">
        <w:rPr>
          <w:rFonts w:eastAsia="Calibri" w:cs="Arial"/>
        </w:rPr>
        <w:t>cyclo</w:t>
      </w:r>
      <w:r w:rsidRPr="004E0AF7">
        <w:rPr>
          <w:rFonts w:eastAsia="Calibri" w:cs="Arial"/>
          <w:b/>
          <w:bCs/>
        </w:rPr>
        <w:t>PHOS</w:t>
      </w:r>
      <w:r w:rsidRPr="004E0AF7">
        <w:rPr>
          <w:rFonts w:eastAsia="Calibri" w:cs="Arial"/>
        </w:rPr>
        <w:t>phamide</w:t>
      </w:r>
      <w:proofErr w:type="spellEnd"/>
      <w:r w:rsidRPr="004E0AF7">
        <w:rPr>
          <w:rFonts w:eastAsia="Calibri" w:cs="Arial"/>
        </w:rPr>
        <w:t xml:space="preserve"> (</w:t>
      </w:r>
      <w:r w:rsidR="00F34ACA">
        <w:rPr>
          <w:rFonts w:eastAsia="Calibri" w:cs="Arial"/>
        </w:rPr>
        <w:t xml:space="preserve">can be </w:t>
      </w:r>
      <w:r w:rsidRPr="004E0AF7">
        <w:rPr>
          <w:rFonts w:eastAsia="Calibri" w:cs="Arial"/>
        </w:rPr>
        <w:t xml:space="preserve">confused with </w:t>
      </w:r>
      <w:proofErr w:type="spellStart"/>
      <w:r w:rsidRPr="004E0AF7">
        <w:rPr>
          <w:rFonts w:eastAsia="Calibri" w:cs="Arial"/>
        </w:rPr>
        <w:t>cyclo</w:t>
      </w:r>
      <w:r w:rsidRPr="004E0AF7">
        <w:rPr>
          <w:rFonts w:eastAsia="Calibri" w:cs="Arial"/>
          <w:b/>
          <w:bCs/>
        </w:rPr>
        <w:t>SPORINE</w:t>
      </w:r>
      <w:proofErr w:type="spellEnd"/>
      <w:r w:rsidRPr="004E0AF7">
        <w:rPr>
          <w:rFonts w:eastAsia="Calibri" w:cs="Arial"/>
        </w:rPr>
        <w:t xml:space="preserve"> and </w:t>
      </w:r>
      <w:proofErr w:type="spellStart"/>
      <w:r w:rsidRPr="004E0AF7">
        <w:rPr>
          <w:rFonts w:eastAsia="Calibri" w:cs="Arial"/>
        </w:rPr>
        <w:t>cyclo</w:t>
      </w:r>
      <w:r w:rsidRPr="004E0AF7">
        <w:rPr>
          <w:rFonts w:eastAsia="Calibri" w:cs="Arial"/>
          <w:b/>
          <w:bCs/>
        </w:rPr>
        <w:t>SERINE</w:t>
      </w:r>
      <w:proofErr w:type="spellEnd"/>
      <w:r w:rsidRPr="004E0AF7">
        <w:rPr>
          <w:rFonts w:eastAsia="Calibri" w:cs="Arial"/>
        </w:rPr>
        <w:t>, already on FDA list)</w:t>
      </w:r>
    </w:p>
    <w:p w14:paraId="11E1323D" w14:textId="77777777" w:rsidR="004E0AF7" w:rsidRPr="004E0AF7" w:rsidRDefault="004E0AF7" w:rsidP="004E0AF7">
      <w:pPr>
        <w:numPr>
          <w:ilvl w:val="0"/>
          <w:numId w:val="21"/>
        </w:numPr>
        <w:spacing w:line="240" w:lineRule="auto"/>
        <w:contextualSpacing/>
        <w:rPr>
          <w:rFonts w:eastAsia="Calibri" w:cs="Arial"/>
        </w:rPr>
      </w:pPr>
      <w:proofErr w:type="spellStart"/>
      <w:r w:rsidRPr="004E0AF7">
        <w:rPr>
          <w:rFonts w:eastAsia="Calibri" w:cs="Arial"/>
        </w:rPr>
        <w:t>dro</w:t>
      </w:r>
      <w:r w:rsidRPr="004E0AF7">
        <w:rPr>
          <w:rFonts w:eastAsia="Calibri" w:cs="Arial"/>
          <w:b/>
          <w:bCs/>
        </w:rPr>
        <w:t>PER</w:t>
      </w:r>
      <w:r w:rsidRPr="004E0AF7">
        <w:rPr>
          <w:rFonts w:eastAsia="Calibri" w:cs="Arial"/>
        </w:rPr>
        <w:t>idol</w:t>
      </w:r>
      <w:proofErr w:type="spellEnd"/>
      <w:r w:rsidRPr="004E0AF7">
        <w:rPr>
          <w:rFonts w:eastAsia="Calibri" w:cs="Arial"/>
        </w:rPr>
        <w:t xml:space="preserve"> and </w:t>
      </w:r>
      <w:proofErr w:type="spellStart"/>
      <w:r w:rsidRPr="004E0AF7">
        <w:rPr>
          <w:rFonts w:eastAsia="Calibri" w:cs="Arial"/>
        </w:rPr>
        <w:t>dro</w:t>
      </w:r>
      <w:r w:rsidRPr="004E0AF7">
        <w:rPr>
          <w:rFonts w:eastAsia="Calibri" w:cs="Arial"/>
          <w:b/>
          <w:bCs/>
        </w:rPr>
        <w:t>NAB</w:t>
      </w:r>
      <w:r w:rsidRPr="004E0AF7">
        <w:rPr>
          <w:rFonts w:eastAsia="Calibri" w:cs="Arial"/>
        </w:rPr>
        <w:t>inol</w:t>
      </w:r>
      <w:proofErr w:type="spellEnd"/>
    </w:p>
    <w:p w14:paraId="0751156C" w14:textId="77777777" w:rsidR="004E0AF7" w:rsidRPr="004E0AF7" w:rsidRDefault="004E0AF7" w:rsidP="004E0AF7">
      <w:pPr>
        <w:numPr>
          <w:ilvl w:val="0"/>
          <w:numId w:val="21"/>
        </w:numPr>
        <w:spacing w:line="240" w:lineRule="auto"/>
        <w:contextualSpacing/>
        <w:rPr>
          <w:rFonts w:eastAsia="Calibri" w:cs="Arial"/>
        </w:rPr>
      </w:pPr>
      <w:proofErr w:type="spellStart"/>
      <w:r w:rsidRPr="004E0AF7">
        <w:rPr>
          <w:rFonts w:eastAsia="Calibri" w:cs="Arial"/>
        </w:rPr>
        <w:t>dex</w:t>
      </w:r>
      <w:r w:rsidRPr="004E0AF7">
        <w:rPr>
          <w:rFonts w:eastAsia="Calibri" w:cs="Arial"/>
          <w:b/>
          <w:bCs/>
        </w:rPr>
        <w:t>AMETH</w:t>
      </w:r>
      <w:r w:rsidRPr="004E0AF7">
        <w:rPr>
          <w:rFonts w:eastAsia="Calibri" w:cs="Arial"/>
        </w:rPr>
        <w:t>asone</w:t>
      </w:r>
      <w:proofErr w:type="spellEnd"/>
      <w:r w:rsidRPr="004E0AF7">
        <w:rPr>
          <w:rFonts w:eastAsia="Calibri" w:cs="Arial"/>
        </w:rPr>
        <w:t xml:space="preserve"> and </w:t>
      </w:r>
      <w:proofErr w:type="spellStart"/>
      <w:r w:rsidRPr="004E0AF7">
        <w:rPr>
          <w:rFonts w:eastAsia="Calibri" w:cs="Arial"/>
        </w:rPr>
        <w:t>dexmede</w:t>
      </w:r>
      <w:r w:rsidRPr="004E0AF7">
        <w:rPr>
          <w:rFonts w:eastAsia="Calibri" w:cs="Arial"/>
          <w:b/>
          <w:bCs/>
        </w:rPr>
        <w:t>TOMID</w:t>
      </w:r>
      <w:r w:rsidRPr="004E0AF7">
        <w:rPr>
          <w:rFonts w:eastAsia="Calibri" w:cs="Arial"/>
        </w:rPr>
        <w:t>ine</w:t>
      </w:r>
      <w:proofErr w:type="spellEnd"/>
    </w:p>
    <w:p w14:paraId="54DD5330" w14:textId="5B22D8D2" w:rsidR="004E0AF7" w:rsidRPr="004E0AF7" w:rsidRDefault="004E0AF7" w:rsidP="004E0AF7">
      <w:pPr>
        <w:numPr>
          <w:ilvl w:val="0"/>
          <w:numId w:val="21"/>
        </w:numPr>
        <w:spacing w:line="240" w:lineRule="auto"/>
        <w:contextualSpacing/>
        <w:rPr>
          <w:rFonts w:eastAsia="Calibri" w:cs="Arial"/>
        </w:rPr>
      </w:pPr>
      <w:proofErr w:type="spellStart"/>
      <w:r w:rsidRPr="004E0AF7">
        <w:rPr>
          <w:rFonts w:eastAsia="Calibri" w:cs="Arial"/>
        </w:rPr>
        <w:t>py</w:t>
      </w:r>
      <w:r w:rsidRPr="004E0AF7">
        <w:rPr>
          <w:rFonts w:eastAsia="Calibri" w:cs="Arial"/>
          <w:b/>
          <w:bCs/>
        </w:rPr>
        <w:t>RID</w:t>
      </w:r>
      <w:r w:rsidRPr="004E0AF7">
        <w:rPr>
          <w:rFonts w:eastAsia="Calibri" w:cs="Arial"/>
        </w:rPr>
        <w:t>ostigmine</w:t>
      </w:r>
      <w:proofErr w:type="spellEnd"/>
      <w:r w:rsidRPr="004E0AF7">
        <w:rPr>
          <w:rFonts w:eastAsia="Calibri" w:cs="Arial"/>
        </w:rPr>
        <w:t xml:space="preserve"> and </w:t>
      </w:r>
      <w:proofErr w:type="spellStart"/>
      <w:r w:rsidRPr="004E0AF7">
        <w:rPr>
          <w:rFonts w:eastAsia="Calibri" w:cs="Arial"/>
          <w:b/>
          <w:bCs/>
        </w:rPr>
        <w:t>PHYS</w:t>
      </w:r>
      <w:r w:rsidRPr="004E0AF7">
        <w:rPr>
          <w:rFonts w:eastAsia="Calibri" w:cs="Arial"/>
        </w:rPr>
        <w:t>ostigmine</w:t>
      </w:r>
      <w:proofErr w:type="spellEnd"/>
    </w:p>
    <w:p w14:paraId="49CD4336" w14:textId="0C161224" w:rsidR="004E0AF7" w:rsidRPr="004E0AF7" w:rsidRDefault="004E0AF7" w:rsidP="004E0AF7">
      <w:pPr>
        <w:numPr>
          <w:ilvl w:val="0"/>
          <w:numId w:val="20"/>
        </w:numPr>
        <w:spacing w:line="240" w:lineRule="auto"/>
        <w:contextualSpacing/>
        <w:rPr>
          <w:rFonts w:eastAsia="Calibri" w:cs="Arial"/>
        </w:rPr>
      </w:pPr>
      <w:proofErr w:type="spellStart"/>
      <w:r w:rsidRPr="004E0AF7">
        <w:rPr>
          <w:rFonts w:eastAsia="Times New Roman" w:cs="Arial"/>
          <w:b/>
          <w:bCs/>
        </w:rPr>
        <w:t>AL</w:t>
      </w:r>
      <w:r w:rsidRPr="004E0AF7">
        <w:rPr>
          <w:rFonts w:eastAsia="Times New Roman" w:cs="Arial"/>
        </w:rPr>
        <w:t>fentanil</w:t>
      </w:r>
      <w:proofErr w:type="spellEnd"/>
      <w:r w:rsidRPr="004E0AF7">
        <w:rPr>
          <w:rFonts w:eastAsia="Times New Roman" w:cs="Arial"/>
        </w:rPr>
        <w:t xml:space="preserve"> (</w:t>
      </w:r>
      <w:r w:rsidR="00F34ACA">
        <w:rPr>
          <w:rFonts w:eastAsia="Times New Roman" w:cs="Arial"/>
        </w:rPr>
        <w:t xml:space="preserve">can be </w:t>
      </w:r>
      <w:r w:rsidRPr="004E0AF7">
        <w:rPr>
          <w:rFonts w:eastAsia="Times New Roman" w:cs="Arial"/>
        </w:rPr>
        <w:t xml:space="preserve">confused with </w:t>
      </w:r>
      <w:proofErr w:type="spellStart"/>
      <w:r w:rsidRPr="004E0AF7">
        <w:rPr>
          <w:rFonts w:eastAsia="Times New Roman" w:cs="Arial"/>
          <w:b/>
          <w:bCs/>
        </w:rPr>
        <w:t>SUF</w:t>
      </w:r>
      <w:r w:rsidRPr="004E0AF7">
        <w:rPr>
          <w:rFonts w:eastAsia="Times New Roman" w:cs="Arial"/>
        </w:rPr>
        <w:t>entanil</w:t>
      </w:r>
      <w:proofErr w:type="spellEnd"/>
      <w:r w:rsidRPr="004E0AF7">
        <w:rPr>
          <w:rFonts w:eastAsia="Times New Roman" w:cs="Arial"/>
        </w:rPr>
        <w:t xml:space="preserve"> and </w:t>
      </w:r>
      <w:proofErr w:type="spellStart"/>
      <w:r w:rsidRPr="004E0AF7">
        <w:rPr>
          <w:rFonts w:eastAsia="Times New Roman" w:cs="Arial"/>
        </w:rPr>
        <w:t>fenta</w:t>
      </w:r>
      <w:r w:rsidRPr="004E0AF7">
        <w:rPr>
          <w:rFonts w:eastAsia="Times New Roman" w:cs="Arial"/>
          <w:b/>
          <w:bCs/>
        </w:rPr>
        <w:t>NYL</w:t>
      </w:r>
      <w:proofErr w:type="spellEnd"/>
      <w:r w:rsidRPr="004E0AF7">
        <w:rPr>
          <w:rFonts w:eastAsia="Times New Roman" w:cs="Arial"/>
        </w:rPr>
        <w:t>, already on the ISMP list)</w:t>
      </w:r>
    </w:p>
    <w:p w14:paraId="6298423C" w14:textId="77777777" w:rsidR="004E0AF7" w:rsidRPr="004E0AF7" w:rsidRDefault="004E0AF7" w:rsidP="004E0AF7">
      <w:pPr>
        <w:numPr>
          <w:ilvl w:val="0"/>
          <w:numId w:val="20"/>
        </w:numPr>
        <w:spacing w:line="240" w:lineRule="auto"/>
        <w:contextualSpacing/>
        <w:rPr>
          <w:rFonts w:eastAsia="Calibri" w:cs="Arial"/>
        </w:rPr>
      </w:pPr>
      <w:proofErr w:type="spellStart"/>
      <w:r w:rsidRPr="004E0AF7">
        <w:rPr>
          <w:rFonts w:eastAsia="Times New Roman" w:cs="Arial"/>
          <w:b/>
          <w:bCs/>
        </w:rPr>
        <w:t>BUP</w:t>
      </w:r>
      <w:r w:rsidRPr="004E0AF7">
        <w:rPr>
          <w:rFonts w:eastAsia="Times New Roman" w:cs="Arial"/>
        </w:rPr>
        <w:t>ivacaine</w:t>
      </w:r>
      <w:proofErr w:type="spellEnd"/>
      <w:r w:rsidRPr="004E0AF7">
        <w:rPr>
          <w:rFonts w:eastAsia="Times New Roman" w:cs="Arial"/>
        </w:rPr>
        <w:t xml:space="preserve"> and </w:t>
      </w:r>
      <w:proofErr w:type="spellStart"/>
      <w:r w:rsidRPr="004E0AF7">
        <w:rPr>
          <w:rFonts w:eastAsia="Times New Roman" w:cs="Arial"/>
          <w:b/>
          <w:bCs/>
        </w:rPr>
        <w:t>ROP</w:t>
      </w:r>
      <w:r w:rsidRPr="004E0AF7">
        <w:rPr>
          <w:rFonts w:eastAsia="Times New Roman" w:cs="Arial"/>
        </w:rPr>
        <w:t>ivacaine</w:t>
      </w:r>
      <w:proofErr w:type="spellEnd"/>
    </w:p>
    <w:p w14:paraId="0631ECEA" w14:textId="55AA1BDC" w:rsidR="004E0AF7" w:rsidRPr="004E0AF7" w:rsidRDefault="004E0AF7" w:rsidP="004E0AF7">
      <w:pPr>
        <w:numPr>
          <w:ilvl w:val="0"/>
          <w:numId w:val="20"/>
        </w:numPr>
        <w:spacing w:line="240" w:lineRule="auto"/>
        <w:contextualSpacing/>
        <w:rPr>
          <w:rFonts w:eastAsia="Calibri" w:cs="Arial"/>
        </w:rPr>
      </w:pPr>
      <w:proofErr w:type="spellStart"/>
      <w:r w:rsidRPr="004E0AF7">
        <w:rPr>
          <w:rFonts w:eastAsia="Times New Roman" w:cs="Arial"/>
        </w:rPr>
        <w:t>oxy</w:t>
      </w:r>
      <w:r w:rsidRPr="004E0AF7">
        <w:rPr>
          <w:rFonts w:eastAsia="Times New Roman" w:cs="Arial"/>
          <w:b/>
          <w:bCs/>
        </w:rPr>
        <w:t>BUTY</w:t>
      </w:r>
      <w:r w:rsidRPr="004E0AF7">
        <w:rPr>
          <w:rFonts w:eastAsia="Times New Roman" w:cs="Arial"/>
        </w:rPr>
        <w:t>nin</w:t>
      </w:r>
      <w:proofErr w:type="spellEnd"/>
      <w:r w:rsidRPr="004E0AF7">
        <w:rPr>
          <w:rFonts w:eastAsia="Times New Roman" w:cs="Arial"/>
        </w:rPr>
        <w:t xml:space="preserve"> (</w:t>
      </w:r>
      <w:r w:rsidR="00F34ACA">
        <w:rPr>
          <w:rFonts w:eastAsia="Times New Roman" w:cs="Arial"/>
        </w:rPr>
        <w:t xml:space="preserve">can be </w:t>
      </w:r>
      <w:r w:rsidRPr="004E0AF7">
        <w:rPr>
          <w:rFonts w:eastAsia="Times New Roman" w:cs="Arial"/>
        </w:rPr>
        <w:t xml:space="preserve">confused with </w:t>
      </w:r>
      <w:proofErr w:type="spellStart"/>
      <w:r w:rsidRPr="004E0AF7">
        <w:rPr>
          <w:rFonts w:eastAsia="Times New Roman" w:cs="Arial"/>
        </w:rPr>
        <w:t>oxy</w:t>
      </w:r>
      <w:r w:rsidRPr="004E0AF7">
        <w:rPr>
          <w:rFonts w:eastAsia="Times New Roman" w:cs="Arial"/>
          <w:b/>
          <w:bCs/>
        </w:rPr>
        <w:t>CODONE</w:t>
      </w:r>
      <w:proofErr w:type="spellEnd"/>
      <w:r w:rsidRPr="004E0AF7">
        <w:rPr>
          <w:rFonts w:eastAsia="Times New Roman" w:cs="Arial"/>
        </w:rPr>
        <w:t xml:space="preserve">, </w:t>
      </w:r>
      <w:proofErr w:type="spellStart"/>
      <w:r w:rsidRPr="004E0AF7">
        <w:rPr>
          <w:rFonts w:eastAsia="Times New Roman" w:cs="Arial"/>
        </w:rPr>
        <w:t>Oxy</w:t>
      </w:r>
      <w:r w:rsidRPr="004E0AF7">
        <w:rPr>
          <w:rFonts w:eastAsia="Times New Roman" w:cs="Arial"/>
          <w:b/>
          <w:bCs/>
        </w:rPr>
        <w:t>CONTIN</w:t>
      </w:r>
      <w:proofErr w:type="spellEnd"/>
      <w:r w:rsidRPr="004E0AF7">
        <w:rPr>
          <w:rFonts w:eastAsia="Times New Roman" w:cs="Arial"/>
        </w:rPr>
        <w:t xml:space="preserve">, and </w:t>
      </w:r>
      <w:proofErr w:type="spellStart"/>
      <w:r w:rsidRPr="004E0AF7">
        <w:rPr>
          <w:rFonts w:eastAsia="Times New Roman" w:cs="Arial"/>
        </w:rPr>
        <w:t>oxy</w:t>
      </w:r>
      <w:r w:rsidRPr="004E0AF7">
        <w:rPr>
          <w:rFonts w:eastAsia="Times New Roman" w:cs="Arial"/>
          <w:b/>
          <w:bCs/>
        </w:rPr>
        <w:t>MOR</w:t>
      </w:r>
      <w:r w:rsidRPr="004E0AF7">
        <w:rPr>
          <w:rFonts w:eastAsia="Times New Roman" w:cs="Arial"/>
        </w:rPr>
        <w:t>phone</w:t>
      </w:r>
      <w:proofErr w:type="spellEnd"/>
      <w:r w:rsidRPr="004E0AF7">
        <w:rPr>
          <w:rFonts w:eastAsia="Times New Roman" w:cs="Arial"/>
        </w:rPr>
        <w:t>, already on the ISMP list)</w:t>
      </w:r>
    </w:p>
    <w:p w14:paraId="321177DD" w14:textId="77777777" w:rsidR="008400F7" w:rsidRPr="007A7456" w:rsidRDefault="008400F7" w:rsidP="008400F7">
      <w:pPr>
        <w:rPr>
          <w:rFonts w:ascii="Times New Roman" w:eastAsia="Calibri" w:hAnsi="Times New Roman"/>
          <w:bCs/>
        </w:rPr>
      </w:pPr>
    </w:p>
    <w:p w14:paraId="2E138652" w14:textId="77777777" w:rsidR="00C217FD" w:rsidRDefault="00C217FD" w:rsidP="00982A39"/>
    <w:p w14:paraId="593D5C70" w14:textId="01D00357" w:rsidR="00C217FD" w:rsidRDefault="00C217FD" w:rsidP="00982A39">
      <w:r>
        <w:t>While numerous studies have demonstrated the ability of mixed case lettering to reduce the risk of errors, gaps still exist in our full understanding of the role that it plays in the clinical setting. ISMP is participating in a four-year Northwestern University research project to assess the comparative effectiveness of various methods of drug name text enhancements and the ability of tall man lettering to reduce errors during selection.</w:t>
      </w:r>
    </w:p>
    <w:p w14:paraId="354D5A8B" w14:textId="77777777" w:rsidR="00C217FD" w:rsidRDefault="00C217FD" w:rsidP="00982A39"/>
    <w:p w14:paraId="16884BEB" w14:textId="4601A3ED" w:rsidR="00E85973" w:rsidRDefault="00C10558" w:rsidP="00982A39">
      <w:r>
        <w:t xml:space="preserve">For a copy of </w:t>
      </w:r>
      <w:r w:rsidRPr="002827AA">
        <w:rPr>
          <w:rFonts w:cs="Arial"/>
        </w:rPr>
        <w:t xml:space="preserve">an </w:t>
      </w:r>
      <w:r w:rsidR="002827AA" w:rsidRPr="002827AA">
        <w:rPr>
          <w:rStyle w:val="Strong"/>
          <w:rFonts w:cs="Arial"/>
          <w:b w:val="0"/>
          <w:bCs w:val="0"/>
          <w:color w:val="141414"/>
          <w:spacing w:val="2"/>
          <w:shd w:val="clear" w:color="auto" w:fill="FFFFFF"/>
        </w:rPr>
        <w:t>ISMP Medication </w:t>
      </w:r>
      <w:r w:rsidR="002827AA" w:rsidRPr="002827AA">
        <w:rPr>
          <w:rStyle w:val="Emphasis"/>
          <w:rFonts w:cs="Arial"/>
          <w:color w:val="141414"/>
          <w:spacing w:val="2"/>
          <w:shd w:val="clear" w:color="auto" w:fill="FFFFFF"/>
        </w:rPr>
        <w:t>Safety Alert!</w:t>
      </w:r>
      <w:r w:rsidR="002827AA" w:rsidRPr="002827AA">
        <w:rPr>
          <w:rStyle w:val="Strong"/>
          <w:rFonts w:cs="Arial"/>
          <w:color w:val="141414"/>
          <w:spacing w:val="2"/>
          <w:sz w:val="16"/>
          <w:szCs w:val="16"/>
          <w:shd w:val="clear" w:color="auto" w:fill="FFFFFF"/>
          <w:vertAlign w:val="superscript"/>
        </w:rPr>
        <w:t>®</w:t>
      </w:r>
      <w:r w:rsidR="002827AA" w:rsidRPr="002827AA">
        <w:rPr>
          <w:rStyle w:val="Strong"/>
          <w:rFonts w:cs="Arial"/>
          <w:i/>
          <w:iCs/>
          <w:color w:val="141414"/>
          <w:spacing w:val="2"/>
          <w:shd w:val="clear" w:color="auto" w:fill="FFFFFF"/>
        </w:rPr>
        <w:t> </w:t>
      </w:r>
      <w:r w:rsidR="002827AA" w:rsidRPr="002827AA">
        <w:rPr>
          <w:rFonts w:cs="Arial"/>
          <w:color w:val="141414"/>
          <w:spacing w:val="2"/>
          <w:shd w:val="clear" w:color="auto" w:fill="FFFFFF"/>
        </w:rPr>
        <w:t>Acute Care newsletter</w:t>
      </w:r>
      <w:r w:rsidR="002827AA">
        <w:rPr>
          <w:rFonts w:ascii="Open Sans" w:hAnsi="Open Sans" w:cs="Open Sans"/>
          <w:color w:val="141414"/>
          <w:spacing w:val="2"/>
          <w:sz w:val="27"/>
          <w:szCs w:val="27"/>
          <w:shd w:val="clear" w:color="auto" w:fill="FFFFFF"/>
        </w:rPr>
        <w:t xml:space="preserve"> </w:t>
      </w:r>
      <w:r>
        <w:t xml:space="preserve">article summarizing survey results, changes to the list, and names considered, visit: </w:t>
      </w:r>
      <w:hyperlink r:id="rId10" w:history="1">
        <w:r w:rsidR="00D102A5">
          <w:rPr>
            <w:rStyle w:val="Hyperlink"/>
          </w:rPr>
          <w:t>ISMP Updates Its List of Drug Names with Tall Man (Mixed Case) Letters Based on Survey Results | Institute For Safe Medication Practices</w:t>
        </w:r>
      </w:hyperlink>
    </w:p>
    <w:p w14:paraId="61DDAB86" w14:textId="77777777" w:rsidR="00E85973" w:rsidRDefault="00E85973" w:rsidP="00982A39"/>
    <w:p w14:paraId="1BC71657" w14:textId="2454C400" w:rsidR="00C10558" w:rsidRDefault="004E0AF7" w:rsidP="00982A39">
      <w:r>
        <w:t xml:space="preserve">For a </w:t>
      </w:r>
      <w:r w:rsidR="00E85973">
        <w:t>copy of the</w:t>
      </w:r>
      <w:r>
        <w:t xml:space="preserve"> updated </w:t>
      </w:r>
      <w:r w:rsidR="002827AA">
        <w:t xml:space="preserve">ISMP </w:t>
      </w:r>
      <w:r>
        <w:t>list</w:t>
      </w:r>
      <w:r w:rsidR="002827AA">
        <w:t xml:space="preserve"> of look-alike drug names with recommended tall man (mixed case) letters</w:t>
      </w:r>
      <w:r>
        <w:t xml:space="preserve">, visit: </w:t>
      </w:r>
      <w:hyperlink r:id="rId11" w:history="1">
        <w:r w:rsidR="0064194A">
          <w:rPr>
            <w:rStyle w:val="Hyperlink"/>
          </w:rPr>
          <w:t>Look-Alike Drug Names with Recommended Tall Man (Mixed Case) Letters | Institute For Safe Medication Practices (ismp.org)</w:t>
        </w:r>
      </w:hyperlink>
    </w:p>
    <w:p w14:paraId="1AD6D47E" w14:textId="77777777" w:rsidR="00A66915" w:rsidRDefault="00A66915" w:rsidP="00982A39"/>
    <w:p w14:paraId="6F985AD8" w14:textId="77777777" w:rsidR="00982A39" w:rsidRDefault="00982A39" w:rsidP="00982A39"/>
    <w:p w14:paraId="710BE766" w14:textId="77777777" w:rsidR="002827AA" w:rsidRPr="00982A39" w:rsidRDefault="002827AA" w:rsidP="00982A39"/>
    <w:p w14:paraId="4CA5C9C3" w14:textId="77777777" w:rsidR="00440567" w:rsidRPr="0064194A" w:rsidRDefault="00440567" w:rsidP="00440567">
      <w:pPr>
        <w:pStyle w:val="NormalWeb"/>
        <w:spacing w:before="0" w:beforeAutospacing="0" w:after="0" w:afterAutospacing="0"/>
        <w:rPr>
          <w:b/>
          <w:bCs/>
          <w:color w:val="000000"/>
          <w:spacing w:val="2"/>
          <w:sz w:val="20"/>
          <w:szCs w:val="20"/>
          <w:shd w:val="clear" w:color="auto" w:fill="FFFFFF"/>
        </w:rPr>
      </w:pPr>
      <w:r w:rsidRPr="0064194A">
        <w:rPr>
          <w:b/>
          <w:bCs/>
          <w:color w:val="000000"/>
          <w:spacing w:val="2"/>
          <w:sz w:val="20"/>
          <w:szCs w:val="20"/>
          <w:shd w:val="clear" w:color="auto" w:fill="FFFFFF"/>
        </w:rPr>
        <w:t>About the Institute for Safe Medication Practices</w:t>
      </w:r>
    </w:p>
    <w:p w14:paraId="2F5953E1" w14:textId="3F55669E" w:rsidR="00C87237" w:rsidRPr="0064194A" w:rsidRDefault="00440567" w:rsidP="00440567">
      <w:pPr>
        <w:pStyle w:val="NormalWeb"/>
        <w:shd w:val="clear" w:color="auto" w:fill="FFFFFF"/>
        <w:spacing w:before="0" w:beforeAutospacing="0" w:after="0" w:afterAutospacing="0"/>
        <w:rPr>
          <w:color w:val="141414"/>
          <w:sz w:val="20"/>
          <w:szCs w:val="20"/>
        </w:rPr>
      </w:pPr>
      <w:r w:rsidRPr="0064194A">
        <w:rPr>
          <w:color w:val="000000"/>
          <w:spacing w:val="2"/>
          <w:sz w:val="20"/>
          <w:szCs w:val="20"/>
          <w:shd w:val="clear" w:color="auto" w:fill="FFFFFF"/>
        </w:rPr>
        <w:t xml:space="preserve">The Institute for Safe Medication Practices (ISMP) is the nation’s first 501c (3) nonprofit organization devoted entirely to preventing medication errors. </w:t>
      </w:r>
      <w:r w:rsidRPr="0064194A">
        <w:rPr>
          <w:color w:val="141414"/>
          <w:sz w:val="20"/>
          <w:szCs w:val="20"/>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2" w:history="1">
        <w:r w:rsidRPr="0064194A">
          <w:rPr>
            <w:rStyle w:val="Hyperlink"/>
            <w:sz w:val="20"/>
            <w:szCs w:val="20"/>
          </w:rPr>
          <w:t>www.ismp.org</w:t>
        </w:r>
      </w:hyperlink>
      <w:r w:rsidRPr="0064194A">
        <w:rPr>
          <w:color w:val="141414"/>
          <w:sz w:val="20"/>
          <w:szCs w:val="20"/>
        </w:rPr>
        <w:t xml:space="preserve"> and follow @ismp_org to learn more. </w:t>
      </w:r>
    </w:p>
    <w:sectPr w:rsidR="00C87237" w:rsidRPr="0064194A" w:rsidSect="003E6EA8">
      <w:headerReference w:type="default" r:id="rId13"/>
      <w:footerReference w:type="default" r:id="rId14"/>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DCF2" w14:textId="77777777" w:rsidR="00393BD2" w:rsidRDefault="00393BD2" w:rsidP="00927FB4">
      <w:pPr>
        <w:spacing w:line="240" w:lineRule="auto"/>
      </w:pPr>
      <w:r>
        <w:separator/>
      </w:r>
    </w:p>
  </w:endnote>
  <w:endnote w:type="continuationSeparator" w:id="0">
    <w:p w14:paraId="6307309B" w14:textId="77777777" w:rsidR="00393BD2" w:rsidRDefault="00393BD2"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7918" w14:textId="77777777" w:rsidR="00393BD2" w:rsidRDefault="00393BD2" w:rsidP="00927FB4">
      <w:pPr>
        <w:spacing w:line="240" w:lineRule="auto"/>
      </w:pPr>
      <w:r>
        <w:separator/>
      </w:r>
    </w:p>
  </w:footnote>
  <w:footnote w:type="continuationSeparator" w:id="0">
    <w:p w14:paraId="1C57FB61" w14:textId="77777777" w:rsidR="00393BD2" w:rsidRDefault="00393BD2"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7216"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59264"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4CE705"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E7"/>
    <w:multiLevelType w:val="multilevel"/>
    <w:tmpl w:val="55E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92422"/>
    <w:multiLevelType w:val="multilevel"/>
    <w:tmpl w:val="A8F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54AC5"/>
    <w:multiLevelType w:val="multilevel"/>
    <w:tmpl w:val="7712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24763"/>
    <w:multiLevelType w:val="hybridMultilevel"/>
    <w:tmpl w:val="A4F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C783C"/>
    <w:multiLevelType w:val="multilevel"/>
    <w:tmpl w:val="D89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A14E0"/>
    <w:multiLevelType w:val="multilevel"/>
    <w:tmpl w:val="F9AC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C7006"/>
    <w:multiLevelType w:val="multilevel"/>
    <w:tmpl w:val="A9A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A4801"/>
    <w:multiLevelType w:val="hybridMultilevel"/>
    <w:tmpl w:val="1BC8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70F68"/>
    <w:multiLevelType w:val="multilevel"/>
    <w:tmpl w:val="602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731B1"/>
    <w:multiLevelType w:val="hybridMultilevel"/>
    <w:tmpl w:val="269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A5DBA"/>
    <w:multiLevelType w:val="multilevel"/>
    <w:tmpl w:val="ECA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BD0F61"/>
    <w:multiLevelType w:val="multilevel"/>
    <w:tmpl w:val="37F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024E2F"/>
    <w:multiLevelType w:val="hybridMultilevel"/>
    <w:tmpl w:val="36D8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0195E"/>
    <w:multiLevelType w:val="multilevel"/>
    <w:tmpl w:val="DCE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85159"/>
    <w:multiLevelType w:val="hybridMultilevel"/>
    <w:tmpl w:val="015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663A4"/>
    <w:multiLevelType w:val="multilevel"/>
    <w:tmpl w:val="8F9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34CE8"/>
    <w:multiLevelType w:val="multilevel"/>
    <w:tmpl w:val="4BD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C6959"/>
    <w:multiLevelType w:val="multilevel"/>
    <w:tmpl w:val="8CF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135D9"/>
    <w:multiLevelType w:val="multilevel"/>
    <w:tmpl w:val="F8B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3C6902"/>
    <w:multiLevelType w:val="multilevel"/>
    <w:tmpl w:val="5DB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146960">
    <w:abstractNumId w:val="18"/>
  </w:num>
  <w:num w:numId="2" w16cid:durableId="383483191">
    <w:abstractNumId w:val="1"/>
  </w:num>
  <w:num w:numId="3" w16cid:durableId="1050807565">
    <w:abstractNumId w:val="14"/>
  </w:num>
  <w:num w:numId="4" w16cid:durableId="398678945">
    <w:abstractNumId w:val="9"/>
  </w:num>
  <w:num w:numId="5" w16cid:durableId="774592396">
    <w:abstractNumId w:val="8"/>
  </w:num>
  <w:num w:numId="6" w16cid:durableId="1604805789">
    <w:abstractNumId w:val="11"/>
  </w:num>
  <w:num w:numId="7" w16cid:durableId="784926304">
    <w:abstractNumId w:val="5"/>
  </w:num>
  <w:num w:numId="8" w16cid:durableId="1082751713">
    <w:abstractNumId w:val="4"/>
  </w:num>
  <w:num w:numId="9" w16cid:durableId="1697733350">
    <w:abstractNumId w:val="20"/>
  </w:num>
  <w:num w:numId="10" w16cid:durableId="1731266383">
    <w:abstractNumId w:val="19"/>
  </w:num>
  <w:num w:numId="11" w16cid:durableId="48504938">
    <w:abstractNumId w:val="2"/>
  </w:num>
  <w:num w:numId="12" w16cid:durableId="1145470610">
    <w:abstractNumId w:val="10"/>
  </w:num>
  <w:num w:numId="13" w16cid:durableId="238442254">
    <w:abstractNumId w:val="15"/>
  </w:num>
  <w:num w:numId="14" w16cid:durableId="2128892862">
    <w:abstractNumId w:val="16"/>
  </w:num>
  <w:num w:numId="15" w16cid:durableId="1610114942">
    <w:abstractNumId w:val="13"/>
  </w:num>
  <w:num w:numId="16" w16cid:durableId="673414614">
    <w:abstractNumId w:val="0"/>
  </w:num>
  <w:num w:numId="17" w16cid:durableId="1532304121">
    <w:abstractNumId w:val="6"/>
  </w:num>
  <w:num w:numId="18" w16cid:durableId="131143079">
    <w:abstractNumId w:val="17"/>
  </w:num>
  <w:num w:numId="19" w16cid:durableId="65078602">
    <w:abstractNumId w:val="3"/>
  </w:num>
  <w:num w:numId="20" w16cid:durableId="914511101">
    <w:abstractNumId w:val="7"/>
  </w:num>
  <w:num w:numId="21" w16cid:durableId="841898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3D68"/>
    <w:rsid w:val="0000512C"/>
    <w:rsid w:val="000071E1"/>
    <w:rsid w:val="000328DB"/>
    <w:rsid w:val="000440F2"/>
    <w:rsid w:val="00053973"/>
    <w:rsid w:val="0007636A"/>
    <w:rsid w:val="0009186A"/>
    <w:rsid w:val="000951C2"/>
    <w:rsid w:val="000A4839"/>
    <w:rsid w:val="000C20B2"/>
    <w:rsid w:val="000C3608"/>
    <w:rsid w:val="000D28CE"/>
    <w:rsid w:val="000D4249"/>
    <w:rsid w:val="000D5D77"/>
    <w:rsid w:val="000D6B57"/>
    <w:rsid w:val="000E2592"/>
    <w:rsid w:val="000F125A"/>
    <w:rsid w:val="000F2BF6"/>
    <w:rsid w:val="00107C87"/>
    <w:rsid w:val="0011499F"/>
    <w:rsid w:val="001172EF"/>
    <w:rsid w:val="001317A5"/>
    <w:rsid w:val="001769E1"/>
    <w:rsid w:val="00180F5E"/>
    <w:rsid w:val="0018121C"/>
    <w:rsid w:val="00192787"/>
    <w:rsid w:val="001A0028"/>
    <w:rsid w:val="001E074F"/>
    <w:rsid w:val="001E10BC"/>
    <w:rsid w:val="001F37C7"/>
    <w:rsid w:val="00201FCB"/>
    <w:rsid w:val="00203C6C"/>
    <w:rsid w:val="0020657B"/>
    <w:rsid w:val="002272AD"/>
    <w:rsid w:val="00243DE4"/>
    <w:rsid w:val="0026602F"/>
    <w:rsid w:val="002827AA"/>
    <w:rsid w:val="00287C24"/>
    <w:rsid w:val="002A0275"/>
    <w:rsid w:val="002B169E"/>
    <w:rsid w:val="002B7A6A"/>
    <w:rsid w:val="002C29EC"/>
    <w:rsid w:val="00304761"/>
    <w:rsid w:val="00306481"/>
    <w:rsid w:val="00317BA2"/>
    <w:rsid w:val="00324633"/>
    <w:rsid w:val="003559C4"/>
    <w:rsid w:val="00365315"/>
    <w:rsid w:val="003848EF"/>
    <w:rsid w:val="003930B4"/>
    <w:rsid w:val="00393BD2"/>
    <w:rsid w:val="003978E8"/>
    <w:rsid w:val="003A5F72"/>
    <w:rsid w:val="003A6A39"/>
    <w:rsid w:val="003C2599"/>
    <w:rsid w:val="003C3E0F"/>
    <w:rsid w:val="003C725A"/>
    <w:rsid w:val="003D259D"/>
    <w:rsid w:val="003D39E9"/>
    <w:rsid w:val="003E5B02"/>
    <w:rsid w:val="003E6EA8"/>
    <w:rsid w:val="003F0BB3"/>
    <w:rsid w:val="003F0FBF"/>
    <w:rsid w:val="003F21F5"/>
    <w:rsid w:val="003F42C6"/>
    <w:rsid w:val="00406C83"/>
    <w:rsid w:val="00440567"/>
    <w:rsid w:val="00447241"/>
    <w:rsid w:val="004500A2"/>
    <w:rsid w:val="004526CD"/>
    <w:rsid w:val="0047646D"/>
    <w:rsid w:val="00484E5F"/>
    <w:rsid w:val="004A03C8"/>
    <w:rsid w:val="004B25AA"/>
    <w:rsid w:val="004D3D49"/>
    <w:rsid w:val="004D4E2B"/>
    <w:rsid w:val="004D562C"/>
    <w:rsid w:val="004E0AF7"/>
    <w:rsid w:val="004E13E1"/>
    <w:rsid w:val="004F077D"/>
    <w:rsid w:val="004F13A3"/>
    <w:rsid w:val="004F34FD"/>
    <w:rsid w:val="00501738"/>
    <w:rsid w:val="00507032"/>
    <w:rsid w:val="0052572B"/>
    <w:rsid w:val="005303C8"/>
    <w:rsid w:val="00533725"/>
    <w:rsid w:val="00536CF2"/>
    <w:rsid w:val="005418E5"/>
    <w:rsid w:val="005514B9"/>
    <w:rsid w:val="00552443"/>
    <w:rsid w:val="0055644A"/>
    <w:rsid w:val="00557245"/>
    <w:rsid w:val="005577AB"/>
    <w:rsid w:val="005631BC"/>
    <w:rsid w:val="005649F1"/>
    <w:rsid w:val="00576BC5"/>
    <w:rsid w:val="005870AB"/>
    <w:rsid w:val="0059006B"/>
    <w:rsid w:val="005B3E33"/>
    <w:rsid w:val="005B4E7C"/>
    <w:rsid w:val="005C6BD1"/>
    <w:rsid w:val="005D0F96"/>
    <w:rsid w:val="005E35E1"/>
    <w:rsid w:val="0060450E"/>
    <w:rsid w:val="00604F7A"/>
    <w:rsid w:val="0060621D"/>
    <w:rsid w:val="00606B12"/>
    <w:rsid w:val="00616199"/>
    <w:rsid w:val="00624ACF"/>
    <w:rsid w:val="00630BBC"/>
    <w:rsid w:val="0064194A"/>
    <w:rsid w:val="00653FFB"/>
    <w:rsid w:val="00655215"/>
    <w:rsid w:val="006839E3"/>
    <w:rsid w:val="00683F08"/>
    <w:rsid w:val="006906F0"/>
    <w:rsid w:val="00690BC0"/>
    <w:rsid w:val="006938E8"/>
    <w:rsid w:val="006C2AF9"/>
    <w:rsid w:val="006D034F"/>
    <w:rsid w:val="006D3941"/>
    <w:rsid w:val="0070630B"/>
    <w:rsid w:val="007150D6"/>
    <w:rsid w:val="0072017C"/>
    <w:rsid w:val="00721C72"/>
    <w:rsid w:val="00747C7E"/>
    <w:rsid w:val="00761660"/>
    <w:rsid w:val="007938AC"/>
    <w:rsid w:val="0079417A"/>
    <w:rsid w:val="00794387"/>
    <w:rsid w:val="007C23C4"/>
    <w:rsid w:val="007C500C"/>
    <w:rsid w:val="007C506E"/>
    <w:rsid w:val="007D3140"/>
    <w:rsid w:val="007F2FDF"/>
    <w:rsid w:val="007F4443"/>
    <w:rsid w:val="007F5874"/>
    <w:rsid w:val="008400F7"/>
    <w:rsid w:val="008670E5"/>
    <w:rsid w:val="00887EEC"/>
    <w:rsid w:val="0089348B"/>
    <w:rsid w:val="008935ED"/>
    <w:rsid w:val="008A5BB3"/>
    <w:rsid w:val="008B7600"/>
    <w:rsid w:val="008C32A1"/>
    <w:rsid w:val="008D05AA"/>
    <w:rsid w:val="008E1DF1"/>
    <w:rsid w:val="008E4C6B"/>
    <w:rsid w:val="00914089"/>
    <w:rsid w:val="00916EA0"/>
    <w:rsid w:val="009215CA"/>
    <w:rsid w:val="00927854"/>
    <w:rsid w:val="00927FB4"/>
    <w:rsid w:val="00937578"/>
    <w:rsid w:val="0094334A"/>
    <w:rsid w:val="0094400B"/>
    <w:rsid w:val="00947A3B"/>
    <w:rsid w:val="009666D6"/>
    <w:rsid w:val="009733EC"/>
    <w:rsid w:val="00975261"/>
    <w:rsid w:val="0097698C"/>
    <w:rsid w:val="009806C8"/>
    <w:rsid w:val="00982A39"/>
    <w:rsid w:val="00993741"/>
    <w:rsid w:val="009B4B91"/>
    <w:rsid w:val="009C237F"/>
    <w:rsid w:val="009C6EA8"/>
    <w:rsid w:val="009D7A75"/>
    <w:rsid w:val="009F45E6"/>
    <w:rsid w:val="00A130F6"/>
    <w:rsid w:val="00A20B12"/>
    <w:rsid w:val="00A23A47"/>
    <w:rsid w:val="00A37037"/>
    <w:rsid w:val="00A44909"/>
    <w:rsid w:val="00A60686"/>
    <w:rsid w:val="00A61952"/>
    <w:rsid w:val="00A66915"/>
    <w:rsid w:val="00A73222"/>
    <w:rsid w:val="00A948D1"/>
    <w:rsid w:val="00AA0905"/>
    <w:rsid w:val="00AA5734"/>
    <w:rsid w:val="00AA6519"/>
    <w:rsid w:val="00AB60FC"/>
    <w:rsid w:val="00AC07B2"/>
    <w:rsid w:val="00AD6957"/>
    <w:rsid w:val="00AF0E99"/>
    <w:rsid w:val="00AF6F1B"/>
    <w:rsid w:val="00B01C38"/>
    <w:rsid w:val="00B03D0B"/>
    <w:rsid w:val="00B072D6"/>
    <w:rsid w:val="00B0796C"/>
    <w:rsid w:val="00B11A21"/>
    <w:rsid w:val="00B20BDF"/>
    <w:rsid w:val="00B3734E"/>
    <w:rsid w:val="00B62843"/>
    <w:rsid w:val="00B66B9F"/>
    <w:rsid w:val="00B72C83"/>
    <w:rsid w:val="00B74754"/>
    <w:rsid w:val="00B76188"/>
    <w:rsid w:val="00B8455F"/>
    <w:rsid w:val="00B85284"/>
    <w:rsid w:val="00B930AB"/>
    <w:rsid w:val="00BB592E"/>
    <w:rsid w:val="00BB761A"/>
    <w:rsid w:val="00BB78AB"/>
    <w:rsid w:val="00BD09A5"/>
    <w:rsid w:val="00BF1EEA"/>
    <w:rsid w:val="00C03A8F"/>
    <w:rsid w:val="00C07D03"/>
    <w:rsid w:val="00C10558"/>
    <w:rsid w:val="00C16203"/>
    <w:rsid w:val="00C217FD"/>
    <w:rsid w:val="00C37F76"/>
    <w:rsid w:val="00C42975"/>
    <w:rsid w:val="00C45BBC"/>
    <w:rsid w:val="00C52AD0"/>
    <w:rsid w:val="00C62A62"/>
    <w:rsid w:val="00C8274E"/>
    <w:rsid w:val="00C87237"/>
    <w:rsid w:val="00C95083"/>
    <w:rsid w:val="00CE0FC6"/>
    <w:rsid w:val="00CE3719"/>
    <w:rsid w:val="00CE4A67"/>
    <w:rsid w:val="00CF38F0"/>
    <w:rsid w:val="00D102A5"/>
    <w:rsid w:val="00D114A5"/>
    <w:rsid w:val="00D24888"/>
    <w:rsid w:val="00D277D7"/>
    <w:rsid w:val="00D35FD8"/>
    <w:rsid w:val="00D4070C"/>
    <w:rsid w:val="00D50E55"/>
    <w:rsid w:val="00D5197D"/>
    <w:rsid w:val="00D6669D"/>
    <w:rsid w:val="00D87B15"/>
    <w:rsid w:val="00DB51D7"/>
    <w:rsid w:val="00DB6DE5"/>
    <w:rsid w:val="00DC525C"/>
    <w:rsid w:val="00DC5E14"/>
    <w:rsid w:val="00DD7C5F"/>
    <w:rsid w:val="00E0371E"/>
    <w:rsid w:val="00E075A6"/>
    <w:rsid w:val="00E519BB"/>
    <w:rsid w:val="00E64C59"/>
    <w:rsid w:val="00E7077B"/>
    <w:rsid w:val="00E85683"/>
    <w:rsid w:val="00E85973"/>
    <w:rsid w:val="00E94BFA"/>
    <w:rsid w:val="00EA61EE"/>
    <w:rsid w:val="00ED174A"/>
    <w:rsid w:val="00EE245C"/>
    <w:rsid w:val="00EF028A"/>
    <w:rsid w:val="00F22EF7"/>
    <w:rsid w:val="00F24310"/>
    <w:rsid w:val="00F34ACA"/>
    <w:rsid w:val="00F4090A"/>
    <w:rsid w:val="00F5336F"/>
    <w:rsid w:val="00F5545F"/>
    <w:rsid w:val="00F70B19"/>
    <w:rsid w:val="00F83B93"/>
    <w:rsid w:val="00F86771"/>
    <w:rsid w:val="00FA6C1C"/>
    <w:rsid w:val="00FB5307"/>
    <w:rsid w:val="00FB5A4F"/>
    <w:rsid w:val="00FC79B1"/>
    <w:rsid w:val="00FD5CD2"/>
    <w:rsid w:val="00FE0A48"/>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 w:type="character" w:styleId="Strong">
    <w:name w:val="Strong"/>
    <w:uiPriority w:val="22"/>
    <w:qFormat/>
    <w:rsid w:val="003978E8"/>
    <w:rPr>
      <w:b/>
      <w:bCs/>
    </w:rPr>
  </w:style>
  <w:style w:type="paragraph" w:customStyle="1" w:styleId="editor-paragraph">
    <w:name w:val="editor-paragraph"/>
    <w:basedOn w:val="Normal"/>
    <w:rsid w:val="002A027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F125A"/>
    <w:pPr>
      <w:spacing w:after="0" w:line="240" w:lineRule="auto"/>
    </w:pPr>
    <w:rPr>
      <w:rFonts w:ascii="Arial" w:eastAsia="Times" w:hAnsi="Arial" w:cs="Times New Roman"/>
      <w:sz w:val="20"/>
      <w:szCs w:val="20"/>
    </w:rPr>
  </w:style>
  <w:style w:type="paragraph" w:styleId="BodyText">
    <w:name w:val="Body Text"/>
    <w:basedOn w:val="Normal"/>
    <w:link w:val="BodyTextChar"/>
    <w:rsid w:val="00440567"/>
    <w:pPr>
      <w:autoSpaceDE w:val="0"/>
      <w:autoSpaceDN w:val="0"/>
      <w:adjustRightInd w:val="0"/>
      <w:spacing w:line="240" w:lineRule="auto"/>
    </w:pPr>
    <w:rPr>
      <w:rFonts w:ascii="Times New Roman" w:eastAsia="Times New Roman" w:hAnsi="Times New Roman"/>
      <w:szCs w:val="24"/>
    </w:rPr>
  </w:style>
  <w:style w:type="character" w:customStyle="1" w:styleId="BodyTextChar">
    <w:name w:val="Body Text Char"/>
    <w:basedOn w:val="DefaultParagraphFont"/>
    <w:link w:val="BodyText"/>
    <w:rsid w:val="00440567"/>
    <w:rPr>
      <w:rFonts w:ascii="Times New Roman" w:eastAsia="Times New Roman" w:hAnsi="Times New Roman" w:cs="Times New Roman"/>
      <w:sz w:val="20"/>
      <w:szCs w:val="24"/>
    </w:rPr>
  </w:style>
  <w:style w:type="character" w:customStyle="1" w:styleId="il">
    <w:name w:val="il"/>
    <w:basedOn w:val="DefaultParagraphFont"/>
    <w:rsid w:val="00440567"/>
  </w:style>
  <w:style w:type="character" w:customStyle="1" w:styleId="field">
    <w:name w:val="field"/>
    <w:basedOn w:val="DefaultParagraphFont"/>
    <w:rsid w:val="00C87237"/>
  </w:style>
  <w:style w:type="character" w:customStyle="1" w:styleId="text">
    <w:name w:val="text"/>
    <w:basedOn w:val="DefaultParagraphFont"/>
    <w:rsid w:val="00C87237"/>
  </w:style>
  <w:style w:type="character" w:styleId="Emphasis">
    <w:name w:val="Emphasis"/>
    <w:basedOn w:val="DefaultParagraphFont"/>
    <w:uiPriority w:val="20"/>
    <w:qFormat/>
    <w:rsid w:val="00C872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5408">
      <w:bodyDiv w:val="1"/>
      <w:marLeft w:val="0"/>
      <w:marRight w:val="0"/>
      <w:marTop w:val="0"/>
      <w:marBottom w:val="0"/>
      <w:divBdr>
        <w:top w:val="none" w:sz="0" w:space="0" w:color="auto"/>
        <w:left w:val="none" w:sz="0" w:space="0" w:color="auto"/>
        <w:bottom w:val="none" w:sz="0" w:space="0" w:color="auto"/>
        <w:right w:val="none" w:sz="0" w:space="0" w:color="auto"/>
      </w:divBdr>
      <w:divsChild>
        <w:div w:id="705981008">
          <w:marLeft w:val="413"/>
          <w:marRight w:val="0"/>
          <w:marTop w:val="360"/>
          <w:marBottom w:val="600"/>
          <w:divBdr>
            <w:top w:val="none" w:sz="0" w:space="0" w:color="auto"/>
            <w:left w:val="none" w:sz="0" w:space="0" w:color="auto"/>
            <w:bottom w:val="single" w:sz="12" w:space="11" w:color="C3C8D4"/>
            <w:right w:val="none" w:sz="0" w:space="0" w:color="auto"/>
          </w:divBdr>
          <w:divsChild>
            <w:div w:id="1704288567">
              <w:marLeft w:val="0"/>
              <w:marRight w:val="0"/>
              <w:marTop w:val="150"/>
              <w:marBottom w:val="225"/>
              <w:divBdr>
                <w:top w:val="none" w:sz="0" w:space="0" w:color="auto"/>
                <w:left w:val="none" w:sz="0" w:space="0" w:color="auto"/>
                <w:bottom w:val="none" w:sz="0" w:space="0" w:color="auto"/>
                <w:right w:val="none" w:sz="0" w:space="0" w:color="auto"/>
              </w:divBdr>
            </w:div>
          </w:divsChild>
        </w:div>
        <w:div w:id="1082947539">
          <w:marLeft w:val="0"/>
          <w:marRight w:val="0"/>
          <w:marTop w:val="0"/>
          <w:marBottom w:val="0"/>
          <w:divBdr>
            <w:top w:val="none" w:sz="0" w:space="0" w:color="auto"/>
            <w:left w:val="none" w:sz="0" w:space="0" w:color="auto"/>
            <w:bottom w:val="none" w:sz="0" w:space="0" w:color="auto"/>
            <w:right w:val="none" w:sz="0" w:space="0" w:color="auto"/>
          </w:divBdr>
          <w:divsChild>
            <w:div w:id="1384212569">
              <w:marLeft w:val="-413"/>
              <w:marRight w:val="-413"/>
              <w:marTop w:val="0"/>
              <w:marBottom w:val="0"/>
              <w:divBdr>
                <w:top w:val="none" w:sz="0" w:space="0" w:color="auto"/>
                <w:left w:val="none" w:sz="0" w:space="0" w:color="auto"/>
                <w:bottom w:val="none" w:sz="0" w:space="0" w:color="auto"/>
                <w:right w:val="none" w:sz="0" w:space="0" w:color="auto"/>
              </w:divBdr>
              <w:divsChild>
                <w:div w:id="1699743089">
                  <w:marLeft w:val="0"/>
                  <w:marRight w:val="0"/>
                  <w:marTop w:val="0"/>
                  <w:marBottom w:val="0"/>
                  <w:divBdr>
                    <w:top w:val="none" w:sz="0" w:space="0" w:color="auto"/>
                    <w:left w:val="none" w:sz="0" w:space="0" w:color="auto"/>
                    <w:bottom w:val="none" w:sz="0" w:space="0" w:color="auto"/>
                    <w:right w:val="none" w:sz="0" w:space="0" w:color="auto"/>
                  </w:divBdr>
                  <w:divsChild>
                    <w:div w:id="726688367">
                      <w:marLeft w:val="0"/>
                      <w:marRight w:val="0"/>
                      <w:marTop w:val="0"/>
                      <w:marBottom w:val="0"/>
                      <w:divBdr>
                        <w:top w:val="none" w:sz="0" w:space="0" w:color="auto"/>
                        <w:left w:val="none" w:sz="0" w:space="0" w:color="auto"/>
                        <w:bottom w:val="none" w:sz="0" w:space="0" w:color="auto"/>
                        <w:right w:val="none" w:sz="0" w:space="0" w:color="auto"/>
                      </w:divBdr>
                    </w:div>
                  </w:divsChild>
                </w:div>
                <w:div w:id="1318922131">
                  <w:marLeft w:val="0"/>
                  <w:marRight w:val="0"/>
                  <w:marTop w:val="0"/>
                  <w:marBottom w:val="0"/>
                  <w:divBdr>
                    <w:top w:val="none" w:sz="0" w:space="0" w:color="auto"/>
                    <w:left w:val="none" w:sz="0" w:space="0" w:color="auto"/>
                    <w:bottom w:val="none" w:sz="0" w:space="0" w:color="auto"/>
                    <w:right w:val="none" w:sz="0" w:space="0" w:color="auto"/>
                  </w:divBdr>
                  <w:divsChild>
                    <w:div w:id="548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8848">
      <w:bodyDiv w:val="1"/>
      <w:marLeft w:val="0"/>
      <w:marRight w:val="0"/>
      <w:marTop w:val="0"/>
      <w:marBottom w:val="0"/>
      <w:divBdr>
        <w:top w:val="none" w:sz="0" w:space="0" w:color="auto"/>
        <w:left w:val="none" w:sz="0" w:space="0" w:color="auto"/>
        <w:bottom w:val="none" w:sz="0" w:space="0" w:color="auto"/>
        <w:right w:val="none" w:sz="0" w:space="0" w:color="auto"/>
      </w:divBdr>
    </w:div>
    <w:div w:id="1103644126">
      <w:bodyDiv w:val="1"/>
      <w:marLeft w:val="0"/>
      <w:marRight w:val="0"/>
      <w:marTop w:val="0"/>
      <w:marBottom w:val="0"/>
      <w:divBdr>
        <w:top w:val="none" w:sz="0" w:space="0" w:color="auto"/>
        <w:left w:val="none" w:sz="0" w:space="0" w:color="auto"/>
        <w:bottom w:val="none" w:sz="0" w:space="0" w:color="auto"/>
        <w:right w:val="none" w:sz="0" w:space="0" w:color="auto"/>
      </w:divBdr>
    </w:div>
    <w:div w:id="19678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m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mp.org/recommendations/tall-man-letters-li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smp.org/resources/ismp-updates-its-list-drug-names-tall-man-mixed-case-letters-based-survey-resul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04163D930B9458F8F665361C74DD1" ma:contentTypeVersion="33" ma:contentTypeDescription="Create a new document." ma:contentTypeScope="" ma:versionID="51e9f8f99edee8659b4b5efa77925139">
  <xsd:schema xmlns:xsd="http://www.w3.org/2001/XMLSchema" xmlns:xs="http://www.w3.org/2001/XMLSchema" xmlns:p="http://schemas.microsoft.com/office/2006/metadata/properties" xmlns:ns2="1217a7d6-c15c-4e33-b66a-8f3d981fb01d" xmlns:ns3="801399f7-ec74-4e39-b47e-8b24e1f27e4f" targetNamespace="http://schemas.microsoft.com/office/2006/metadata/properties" ma:root="true" ma:fieldsID="caec9ede89abcc07620bf9df2c6ce327" ns2:_="" ns3:_="">
    <xsd:import namespace="1217a7d6-c15c-4e33-b66a-8f3d981fb01d"/>
    <xsd:import namespace="801399f7-ec74-4e39-b47e-8b24e1f27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7d6-c15c-4e33-b66a-8f3d981fb01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399f7-ec74-4e39-b47e-8b24e1f27e4f"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41345c-586a-43da-97c0-f548b4cf6ae5}" ma:internalName="TaxCatchAll" ma:showField="CatchAllData" ma:web="801399f7-ec74-4e39-b47e-8b24e1f27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399f7-ec74-4e39-b47e-8b24e1f27e4f">
      <UserInfo>
        <DisplayName>ISMP Team Visitors</DisplayName>
        <AccountId>4</AccountId>
        <AccountType/>
      </UserInfo>
    </SharedWithUsers>
    <lcf76f155ced4ddcb4097134ff3c332f xmlns="1217a7d6-c15c-4e33-b66a-8f3d981fb01d">
      <Terms xmlns="http://schemas.microsoft.com/office/infopath/2007/PartnerControls"/>
    </lcf76f155ced4ddcb4097134ff3c332f>
    <TaxCatchAll xmlns="801399f7-ec74-4e39-b47e-8b24e1f27e4f" xsi:nil="true"/>
  </documentManagement>
</p:properties>
</file>

<file path=customXml/itemProps1.xml><?xml version="1.0" encoding="utf-8"?>
<ds:datastoreItem xmlns:ds="http://schemas.openxmlformats.org/officeDocument/2006/customXml" ds:itemID="{FCF8838C-1B0B-42AA-82B5-B98EF756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7d6-c15c-4e33-b66a-8f3d981fb01d"/>
    <ds:schemaRef ds:uri="801399f7-ec74-4e39-b47e-8b24e1f2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69FDF-742D-49DC-A95C-67CE4646EAF6}">
  <ds:schemaRefs>
    <ds:schemaRef ds:uri="http://schemas.microsoft.com/sharepoint/v3/contenttype/forms"/>
  </ds:schemaRefs>
</ds:datastoreItem>
</file>

<file path=customXml/itemProps3.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2</cp:revision>
  <cp:lastPrinted>2023-01-24T19:56:00Z</cp:lastPrinted>
  <dcterms:created xsi:type="dcterms:W3CDTF">2023-01-30T14:00:00Z</dcterms:created>
  <dcterms:modified xsi:type="dcterms:W3CDTF">2023-01-30T14:00:00Z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0x01010048A04163D930B9458F8F665361C74DD1</vt:lpwstr>
  </property>
  <property fmtid="{D5CDD505-2E9C-101B-9397-08002B2CF9AE}" pid="3" name="MediaServiceImageTags">
    <vt:lpwstr/>
  </property>
  <property fmtid="{D5CDD505-2E9C-101B-9397-08002B2CF9AE}" pid="4" name="_ExtendedDescription">
    <vt:lpwstr/>
  </property>
</Properties>
</file>