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5870AB">
        <w:trPr>
          <w:trHeight w:val="288"/>
        </w:trPr>
        <w:tc>
          <w:tcPr>
            <w:tcW w:w="4734"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6138"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5870AB">
        <w:trPr>
          <w:trHeight w:val="360"/>
        </w:trPr>
        <w:tc>
          <w:tcPr>
            <w:tcW w:w="4734" w:type="dxa"/>
            <w:shd w:val="clear" w:color="auto" w:fill="auto"/>
            <w:vAlign w:val="bottom"/>
          </w:tcPr>
          <w:p w14:paraId="7AF6B19A" w14:textId="2DB86705" w:rsidR="0000512C" w:rsidRPr="006B6780" w:rsidRDefault="00604F7A" w:rsidP="00FC7ACF">
            <w:r>
              <w:t xml:space="preserve">September </w:t>
            </w:r>
            <w:r w:rsidR="003559C4" w:rsidRPr="00E85683">
              <w:t>22</w:t>
            </w:r>
            <w:r w:rsidR="0000512C" w:rsidRPr="004D3D49">
              <w:t>, 2022</w:t>
            </w:r>
          </w:p>
        </w:tc>
        <w:tc>
          <w:tcPr>
            <w:tcW w:w="6138"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5870AB">
        <w:trPr>
          <w:trHeight w:val="360"/>
        </w:trPr>
        <w:tc>
          <w:tcPr>
            <w:tcW w:w="4734" w:type="dxa"/>
            <w:shd w:val="clear" w:color="auto" w:fill="auto"/>
            <w:vAlign w:val="bottom"/>
          </w:tcPr>
          <w:p w14:paraId="74FE7BC4" w14:textId="77777777" w:rsidR="0000512C" w:rsidRPr="006B6780" w:rsidRDefault="0000512C" w:rsidP="00FC7ACF"/>
        </w:tc>
        <w:tc>
          <w:tcPr>
            <w:tcW w:w="6138" w:type="dxa"/>
            <w:shd w:val="clear" w:color="auto" w:fill="auto"/>
            <w:vAlign w:val="bottom"/>
          </w:tcPr>
          <w:p w14:paraId="61DEF72D" w14:textId="77777777" w:rsidR="0000512C" w:rsidRDefault="0000512C" w:rsidP="00FC7ACF">
            <w:r>
              <w:t>rbrehio@ismp.org • 614-376-0212</w:t>
            </w:r>
          </w:p>
        </w:tc>
      </w:tr>
    </w:tbl>
    <w:p w14:paraId="7E5D2412" w14:textId="6602D102" w:rsidR="003978E8" w:rsidRPr="00FC79B1" w:rsidRDefault="003978E8" w:rsidP="00DC525C">
      <w:pPr>
        <w:pStyle w:val="Heading2"/>
        <w:spacing w:before="720"/>
        <w:jc w:val="center"/>
        <w:rPr>
          <w:sz w:val="30"/>
          <w:szCs w:val="30"/>
        </w:rPr>
      </w:pPr>
      <w:r w:rsidRPr="00FC79B1">
        <w:rPr>
          <w:sz w:val="30"/>
          <w:szCs w:val="30"/>
        </w:rPr>
        <w:t xml:space="preserve">ISMP </w:t>
      </w:r>
      <w:r w:rsidR="00DC525C">
        <w:rPr>
          <w:sz w:val="30"/>
          <w:szCs w:val="30"/>
        </w:rPr>
        <w:t xml:space="preserve">Draws Attention to Age-Related </w:t>
      </w:r>
      <w:r w:rsidR="0060450E">
        <w:rPr>
          <w:sz w:val="30"/>
          <w:szCs w:val="30"/>
        </w:rPr>
        <w:t xml:space="preserve">Vaccination </w:t>
      </w:r>
      <w:r w:rsidR="00DC525C">
        <w:rPr>
          <w:sz w:val="30"/>
          <w:szCs w:val="30"/>
        </w:rPr>
        <w:t>Errors</w:t>
      </w:r>
    </w:p>
    <w:p w14:paraId="33669C6C" w14:textId="12FDB5B9" w:rsidR="00FC79B1" w:rsidRPr="00FC79B1" w:rsidRDefault="003978E8" w:rsidP="00FC79B1">
      <w:pPr>
        <w:pStyle w:val="Heading3"/>
        <w:spacing w:before="0" w:after="240"/>
        <w:jc w:val="center"/>
        <w:rPr>
          <w:sz w:val="22"/>
          <w:szCs w:val="22"/>
        </w:rPr>
      </w:pPr>
      <w:r w:rsidRPr="00FC79B1">
        <w:rPr>
          <w:i/>
          <w:iCs/>
          <w:sz w:val="22"/>
          <w:szCs w:val="22"/>
        </w:rPr>
        <w:t>Re</w:t>
      </w:r>
      <w:r w:rsidR="00DC525C">
        <w:rPr>
          <w:i/>
          <w:iCs/>
          <w:sz w:val="22"/>
          <w:szCs w:val="22"/>
        </w:rPr>
        <w:t xml:space="preserve">cent Analysis </w:t>
      </w:r>
      <w:r w:rsidR="00683F08">
        <w:rPr>
          <w:i/>
          <w:iCs/>
          <w:sz w:val="22"/>
          <w:szCs w:val="22"/>
        </w:rPr>
        <w:t>Focuses on Mistakes with Non COVID-Related Vaccines</w:t>
      </w:r>
    </w:p>
    <w:p w14:paraId="563DBD13" w14:textId="028B97EE" w:rsidR="003978E8" w:rsidRPr="004A1D64" w:rsidRDefault="003978E8" w:rsidP="003978E8">
      <w:pPr>
        <w:pStyle w:val="Heading3"/>
        <w:spacing w:before="0"/>
        <w:rPr>
          <w:i/>
          <w:iCs/>
          <w:sz w:val="20"/>
          <w:szCs w:val="20"/>
        </w:rPr>
      </w:pPr>
      <w:r w:rsidRPr="004A1D64">
        <w:rPr>
          <w:sz w:val="20"/>
          <w:szCs w:val="20"/>
        </w:rPr>
        <w:t xml:space="preserve">                                                        </w:t>
      </w:r>
    </w:p>
    <w:p w14:paraId="198B6988" w14:textId="60DCA0FA" w:rsidR="003978E8" w:rsidRPr="00B11A21" w:rsidRDefault="003978E8" w:rsidP="003978E8">
      <w:pPr>
        <w:rPr>
          <w:rFonts w:cs="Arial"/>
          <w:color w:val="000000"/>
          <w:sz w:val="21"/>
          <w:szCs w:val="21"/>
          <w:shd w:val="clear" w:color="auto" w:fill="FFFFFF"/>
        </w:rPr>
      </w:pPr>
      <w:r w:rsidRPr="00B11A21">
        <w:rPr>
          <w:b/>
          <w:bCs/>
          <w:sz w:val="21"/>
          <w:szCs w:val="21"/>
        </w:rPr>
        <w:t>Plymouth Meeting, Pa.</w:t>
      </w:r>
      <w:r w:rsidRPr="00B11A21">
        <w:rPr>
          <w:sz w:val="21"/>
          <w:szCs w:val="21"/>
        </w:rPr>
        <w:t xml:space="preserve">– </w:t>
      </w:r>
      <w:r w:rsidR="000071E1">
        <w:rPr>
          <w:sz w:val="21"/>
          <w:szCs w:val="21"/>
        </w:rPr>
        <w:t xml:space="preserve">While there has been intense focus on COVID vaccine safety during the global pandemic, errors with other vaccines continue to increase the risk of disease outbreaks, costly overvaccination, and loss of public confidence in vaccines and the healthcare delivery system. </w:t>
      </w:r>
      <w:r w:rsidRPr="00B11A21">
        <w:rPr>
          <w:sz w:val="21"/>
          <w:szCs w:val="21"/>
        </w:rPr>
        <w:t xml:space="preserve">The </w:t>
      </w:r>
      <w:r w:rsidR="003A5F72">
        <w:rPr>
          <w:sz w:val="21"/>
          <w:szCs w:val="21"/>
        </w:rPr>
        <w:t xml:space="preserve">2022 analysis by the </w:t>
      </w:r>
      <w:r w:rsidRPr="00B11A21">
        <w:rPr>
          <w:sz w:val="21"/>
          <w:szCs w:val="21"/>
        </w:rPr>
        <w:t xml:space="preserve">Institute for Safe Medication Practices </w:t>
      </w:r>
      <w:r w:rsidR="000071E1">
        <w:rPr>
          <w:sz w:val="21"/>
          <w:szCs w:val="21"/>
        </w:rPr>
        <w:t>National Vaccine Errors Reporting Program</w:t>
      </w:r>
      <w:r w:rsidR="003A5F72">
        <w:rPr>
          <w:sz w:val="21"/>
          <w:szCs w:val="21"/>
        </w:rPr>
        <w:t xml:space="preserve"> (ISMP VERP)</w:t>
      </w:r>
      <w:r w:rsidR="000071E1">
        <w:rPr>
          <w:sz w:val="21"/>
          <w:szCs w:val="21"/>
        </w:rPr>
        <w:t xml:space="preserve"> </w:t>
      </w:r>
      <w:r w:rsidR="003A5F72">
        <w:rPr>
          <w:sz w:val="21"/>
          <w:szCs w:val="21"/>
        </w:rPr>
        <w:t>addresses this issue by focusing</w:t>
      </w:r>
      <w:r w:rsidR="000071E1">
        <w:rPr>
          <w:sz w:val="21"/>
          <w:szCs w:val="21"/>
        </w:rPr>
        <w:t xml:space="preserve"> on vaccines</w:t>
      </w:r>
      <w:r w:rsidR="003A5F72">
        <w:rPr>
          <w:sz w:val="21"/>
          <w:szCs w:val="21"/>
        </w:rPr>
        <w:t xml:space="preserve"> outside of those intended to prevent </w:t>
      </w:r>
      <w:proofErr w:type="gramStart"/>
      <w:r w:rsidR="003A5F72">
        <w:rPr>
          <w:sz w:val="21"/>
          <w:szCs w:val="21"/>
        </w:rPr>
        <w:t>COVID,</w:t>
      </w:r>
      <w:r w:rsidR="000071E1">
        <w:rPr>
          <w:sz w:val="21"/>
          <w:szCs w:val="21"/>
        </w:rPr>
        <w:t xml:space="preserve"> and</w:t>
      </w:r>
      <w:proofErr w:type="gramEnd"/>
      <w:r w:rsidR="000071E1">
        <w:rPr>
          <w:sz w:val="21"/>
          <w:szCs w:val="21"/>
        </w:rPr>
        <w:t xml:space="preserve"> offers safe practice recommendations</w:t>
      </w:r>
      <w:r w:rsidRPr="00B11A21">
        <w:rPr>
          <w:rFonts w:cs="Arial"/>
          <w:color w:val="000000"/>
          <w:sz w:val="21"/>
          <w:szCs w:val="21"/>
          <w:shd w:val="clear" w:color="auto" w:fill="FFFFFF"/>
        </w:rPr>
        <w:t>. </w:t>
      </w:r>
    </w:p>
    <w:p w14:paraId="1A061B9F" w14:textId="77777777" w:rsidR="003978E8" w:rsidRPr="00B11A21" w:rsidRDefault="003978E8" w:rsidP="003978E8">
      <w:pPr>
        <w:rPr>
          <w:rFonts w:cs="Arial"/>
          <w:color w:val="000000"/>
          <w:sz w:val="21"/>
          <w:szCs w:val="21"/>
          <w:shd w:val="clear" w:color="auto" w:fill="FFFFFF"/>
        </w:rPr>
      </w:pPr>
    </w:p>
    <w:p w14:paraId="2AC86F93" w14:textId="653A14CF" w:rsidR="003978E8" w:rsidRDefault="000071E1" w:rsidP="0060450E">
      <w:pPr>
        <w:rPr>
          <w:sz w:val="21"/>
          <w:szCs w:val="21"/>
        </w:rPr>
      </w:pPr>
      <w:r>
        <w:rPr>
          <w:sz w:val="21"/>
          <w:szCs w:val="21"/>
        </w:rPr>
        <w:t xml:space="preserve">ISMP found that during the 19-month timeframe examined, some of the most frequent types of vaccine-related events </w:t>
      </w:r>
      <w:r w:rsidR="003A5F72">
        <w:rPr>
          <w:sz w:val="21"/>
          <w:szCs w:val="21"/>
        </w:rPr>
        <w:t xml:space="preserve">(excluding COVID vaccines) </w:t>
      </w:r>
      <w:r>
        <w:rPr>
          <w:sz w:val="21"/>
          <w:szCs w:val="21"/>
        </w:rPr>
        <w:t xml:space="preserve">included age-related errors, which often are associated with administering the wrong vaccine or the wrong dose. Wrong age plus wrong vaccine or </w:t>
      </w:r>
      <w:r w:rsidR="006938E8" w:rsidRPr="006938E8">
        <w:rPr>
          <w:sz w:val="21"/>
          <w:szCs w:val="21"/>
        </w:rPr>
        <w:t xml:space="preserve">dose </w:t>
      </w:r>
      <w:r>
        <w:rPr>
          <w:sz w:val="21"/>
          <w:szCs w:val="21"/>
        </w:rPr>
        <w:t>errors contributed to nearly half (46%) of all non-COVID vaccine errors reported to the ISMP VERP during that time.</w:t>
      </w:r>
    </w:p>
    <w:p w14:paraId="7DF07441" w14:textId="77777777" w:rsidR="000071E1" w:rsidRDefault="000071E1" w:rsidP="003978E8">
      <w:pPr>
        <w:rPr>
          <w:sz w:val="21"/>
          <w:szCs w:val="21"/>
        </w:rPr>
      </w:pPr>
    </w:p>
    <w:p w14:paraId="5A2F3A63" w14:textId="325E1E85" w:rsidR="000071E1" w:rsidRDefault="000071E1" w:rsidP="003978E8">
      <w:pPr>
        <w:rPr>
          <w:sz w:val="21"/>
          <w:szCs w:val="21"/>
        </w:rPr>
      </w:pPr>
      <w:r>
        <w:rPr>
          <w:sz w:val="21"/>
          <w:szCs w:val="21"/>
        </w:rPr>
        <w:t>Wrong age formulation and wrong dose errors occurred frequently between age-related formulations of influenza virus vaccines (31%), diphtheria, tetanus, and</w:t>
      </w:r>
      <w:r w:rsidR="0060450E" w:rsidRPr="0060450E">
        <w:rPr>
          <w:sz w:val="21"/>
          <w:szCs w:val="21"/>
        </w:rPr>
        <w:t xml:space="preserve"> </w:t>
      </w:r>
      <w:r w:rsidR="006938E8" w:rsidRPr="0060450E">
        <w:rPr>
          <w:sz w:val="21"/>
          <w:szCs w:val="21"/>
        </w:rPr>
        <w:t>acellular</w:t>
      </w:r>
      <w:r w:rsidR="006938E8">
        <w:rPr>
          <w:sz w:val="21"/>
          <w:szCs w:val="21"/>
        </w:rPr>
        <w:t xml:space="preserve"> </w:t>
      </w:r>
      <w:r>
        <w:rPr>
          <w:sz w:val="21"/>
          <w:szCs w:val="21"/>
        </w:rPr>
        <w:t xml:space="preserve">pertussis </w:t>
      </w:r>
      <w:r w:rsidR="006938E8" w:rsidRPr="0060450E">
        <w:rPr>
          <w:sz w:val="21"/>
          <w:szCs w:val="21"/>
        </w:rPr>
        <w:t xml:space="preserve">vaccine </w:t>
      </w:r>
      <w:r w:rsidR="0060450E" w:rsidRPr="0060450E">
        <w:rPr>
          <w:sz w:val="21"/>
          <w:szCs w:val="21"/>
        </w:rPr>
        <w:t>(</w:t>
      </w:r>
      <w:r w:rsidR="006938E8" w:rsidRPr="0060450E">
        <w:rPr>
          <w:sz w:val="21"/>
          <w:szCs w:val="21"/>
        </w:rPr>
        <w:t>D</w:t>
      </w:r>
      <w:r w:rsidR="004D4E2B" w:rsidRPr="0060450E">
        <w:rPr>
          <w:sz w:val="21"/>
          <w:szCs w:val="21"/>
        </w:rPr>
        <w:t>T</w:t>
      </w:r>
      <w:r w:rsidR="006938E8" w:rsidRPr="0060450E">
        <w:rPr>
          <w:sz w:val="21"/>
          <w:szCs w:val="21"/>
        </w:rPr>
        <w:t>aP)</w:t>
      </w:r>
      <w:r w:rsidR="006938E8">
        <w:rPr>
          <w:sz w:val="21"/>
          <w:szCs w:val="21"/>
        </w:rPr>
        <w:t xml:space="preserve"> </w:t>
      </w:r>
      <w:r>
        <w:rPr>
          <w:sz w:val="21"/>
          <w:szCs w:val="21"/>
        </w:rPr>
        <w:t xml:space="preserve">(23%), hepatitis A vaccines (16%), and hepatitis B vaccines (16%). </w:t>
      </w:r>
      <w:r w:rsidR="003A5F72">
        <w:rPr>
          <w:sz w:val="21"/>
          <w:szCs w:val="21"/>
        </w:rPr>
        <w:t>Unfortunately, t</w:t>
      </w:r>
      <w:r>
        <w:rPr>
          <w:sz w:val="21"/>
          <w:szCs w:val="21"/>
        </w:rPr>
        <w:t xml:space="preserve">he frequency of mix-ups between age-related formulations of these four vaccines has not improved much during the past decade. </w:t>
      </w:r>
    </w:p>
    <w:p w14:paraId="045F9EE6" w14:textId="77777777" w:rsidR="000071E1" w:rsidRDefault="000071E1" w:rsidP="003978E8">
      <w:pPr>
        <w:rPr>
          <w:sz w:val="21"/>
          <w:szCs w:val="21"/>
        </w:rPr>
      </w:pPr>
    </w:p>
    <w:p w14:paraId="28DCD09F" w14:textId="2A73997F" w:rsidR="000071E1" w:rsidRDefault="000071E1" w:rsidP="00B62843">
      <w:pPr>
        <w:spacing w:after="240"/>
        <w:rPr>
          <w:sz w:val="21"/>
          <w:szCs w:val="21"/>
        </w:rPr>
      </w:pPr>
      <w:r>
        <w:rPr>
          <w:sz w:val="21"/>
          <w:szCs w:val="21"/>
        </w:rPr>
        <w:t>ISMP’s safe practice recommendations to prevent age-related vaccine errors include:</w:t>
      </w:r>
    </w:p>
    <w:p w14:paraId="53846954" w14:textId="1315FD7C" w:rsidR="000071E1" w:rsidRDefault="00B62843" w:rsidP="00B62843">
      <w:pPr>
        <w:pStyle w:val="ListParagraph"/>
        <w:numPr>
          <w:ilvl w:val="0"/>
          <w:numId w:val="3"/>
        </w:numPr>
        <w:spacing w:after="240"/>
        <w:contextualSpacing w:val="0"/>
        <w:rPr>
          <w:sz w:val="21"/>
          <w:szCs w:val="21"/>
        </w:rPr>
      </w:pPr>
      <w:r w:rsidRPr="00B62843">
        <w:rPr>
          <w:b/>
          <w:bCs/>
          <w:sz w:val="21"/>
          <w:szCs w:val="21"/>
        </w:rPr>
        <w:t>Maximize technology</w:t>
      </w:r>
      <w:r w:rsidR="00D114A5">
        <w:rPr>
          <w:b/>
          <w:bCs/>
          <w:sz w:val="21"/>
          <w:szCs w:val="21"/>
        </w:rPr>
        <w:t xml:space="preserve">. </w:t>
      </w:r>
      <w:r w:rsidR="003A5F72">
        <w:rPr>
          <w:sz w:val="21"/>
          <w:szCs w:val="21"/>
        </w:rPr>
        <w:t xml:space="preserve">Utilize clinical decision support and barcode </w:t>
      </w:r>
      <w:proofErr w:type="gramStart"/>
      <w:r w:rsidR="003A5F72">
        <w:rPr>
          <w:sz w:val="21"/>
          <w:szCs w:val="21"/>
        </w:rPr>
        <w:t>scanning, and</w:t>
      </w:r>
      <w:proofErr w:type="gramEnd"/>
      <w:r w:rsidR="003A5F72">
        <w:rPr>
          <w:sz w:val="21"/>
          <w:szCs w:val="21"/>
        </w:rPr>
        <w:t xml:space="preserve"> d</w:t>
      </w:r>
      <w:r>
        <w:rPr>
          <w:sz w:val="21"/>
          <w:szCs w:val="21"/>
        </w:rPr>
        <w:t>evelop order sets based on the Centers for Disease Control and Prevention (CDC) immunization schedules to guide prescribers to the appropriate age-based formulations.</w:t>
      </w:r>
    </w:p>
    <w:p w14:paraId="4C172F29" w14:textId="3EAAAA21" w:rsidR="00B62843" w:rsidRDefault="00B62843" w:rsidP="00B62843">
      <w:pPr>
        <w:pStyle w:val="ListParagraph"/>
        <w:numPr>
          <w:ilvl w:val="0"/>
          <w:numId w:val="3"/>
        </w:numPr>
        <w:spacing w:after="240"/>
        <w:contextualSpacing w:val="0"/>
        <w:rPr>
          <w:sz w:val="21"/>
          <w:szCs w:val="21"/>
        </w:rPr>
      </w:pPr>
      <w:r w:rsidRPr="00B62843">
        <w:rPr>
          <w:b/>
          <w:bCs/>
          <w:sz w:val="21"/>
          <w:szCs w:val="21"/>
        </w:rPr>
        <w:t>Streamline purchasing</w:t>
      </w:r>
      <w:r w:rsidR="00D114A5">
        <w:rPr>
          <w:sz w:val="21"/>
          <w:szCs w:val="21"/>
        </w:rPr>
        <w:t xml:space="preserve">. </w:t>
      </w:r>
      <w:r>
        <w:rPr>
          <w:sz w:val="21"/>
          <w:szCs w:val="21"/>
        </w:rPr>
        <w:t>Investigate purchasing differing age-specific formulations of the same vaccine from different manufacturers to help distinguish them.</w:t>
      </w:r>
    </w:p>
    <w:p w14:paraId="2C1CCE6A" w14:textId="1D0F35A9" w:rsidR="00B62843" w:rsidRDefault="00B62843" w:rsidP="00B62843">
      <w:pPr>
        <w:pStyle w:val="ListParagraph"/>
        <w:numPr>
          <w:ilvl w:val="0"/>
          <w:numId w:val="3"/>
        </w:numPr>
        <w:spacing w:after="240"/>
        <w:contextualSpacing w:val="0"/>
        <w:rPr>
          <w:sz w:val="21"/>
          <w:szCs w:val="21"/>
        </w:rPr>
      </w:pPr>
      <w:r>
        <w:rPr>
          <w:b/>
          <w:bCs/>
          <w:sz w:val="21"/>
          <w:szCs w:val="21"/>
        </w:rPr>
        <w:lastRenderedPageBreak/>
        <w:t>Store separately</w:t>
      </w:r>
      <w:r w:rsidR="00D114A5">
        <w:rPr>
          <w:sz w:val="21"/>
          <w:szCs w:val="21"/>
        </w:rPr>
        <w:t xml:space="preserve">. </w:t>
      </w:r>
      <w:r>
        <w:rPr>
          <w:sz w:val="21"/>
          <w:szCs w:val="21"/>
        </w:rPr>
        <w:t xml:space="preserve">Separate vaccine storage on different shelves in bins, </w:t>
      </w:r>
      <w:r w:rsidR="003A5F72">
        <w:rPr>
          <w:sz w:val="21"/>
          <w:szCs w:val="21"/>
        </w:rPr>
        <w:t xml:space="preserve">ensure that they are </w:t>
      </w:r>
      <w:r>
        <w:rPr>
          <w:sz w:val="21"/>
          <w:szCs w:val="21"/>
        </w:rPr>
        <w:t>properly labeled, and do not store vaccines with similar names, abbreviations, or overlapping components near each other.</w:t>
      </w:r>
    </w:p>
    <w:p w14:paraId="481D35D2" w14:textId="3F53482D" w:rsidR="00B62843" w:rsidRDefault="00B62843" w:rsidP="00B62843">
      <w:pPr>
        <w:pStyle w:val="ListParagraph"/>
        <w:numPr>
          <w:ilvl w:val="0"/>
          <w:numId w:val="3"/>
        </w:numPr>
        <w:spacing w:after="240"/>
        <w:contextualSpacing w:val="0"/>
        <w:rPr>
          <w:sz w:val="21"/>
          <w:szCs w:val="21"/>
        </w:rPr>
      </w:pPr>
      <w:r w:rsidRPr="00B62843">
        <w:rPr>
          <w:b/>
          <w:bCs/>
          <w:sz w:val="21"/>
          <w:szCs w:val="21"/>
        </w:rPr>
        <w:t>Verify identity, age, and vaccine(s) requested</w:t>
      </w:r>
      <w:r w:rsidR="00D114A5">
        <w:rPr>
          <w:sz w:val="21"/>
          <w:szCs w:val="21"/>
        </w:rPr>
        <w:t xml:space="preserve">. </w:t>
      </w:r>
      <w:r>
        <w:rPr>
          <w:sz w:val="21"/>
          <w:szCs w:val="21"/>
        </w:rPr>
        <w:t>When checking in a patient scheduled to receive vaccine(s), ask the parent, caregiver, or patient to provide at least two patient identifiers—their full name and date of birth. Verify age and which vaccine(s)</w:t>
      </w:r>
      <w:r w:rsidR="0060450E">
        <w:rPr>
          <w:sz w:val="21"/>
          <w:szCs w:val="21"/>
        </w:rPr>
        <w:t xml:space="preserve"> </w:t>
      </w:r>
      <w:r>
        <w:rPr>
          <w:sz w:val="21"/>
          <w:szCs w:val="21"/>
        </w:rPr>
        <w:t>they requested.</w:t>
      </w:r>
      <w:r w:rsidR="004F34FD">
        <w:rPr>
          <w:sz w:val="21"/>
          <w:szCs w:val="21"/>
        </w:rPr>
        <w:t xml:space="preserve"> </w:t>
      </w:r>
    </w:p>
    <w:p w14:paraId="6DD94D23" w14:textId="649E3D05" w:rsidR="00B62843" w:rsidRDefault="00B62843" w:rsidP="00B62843">
      <w:pPr>
        <w:pStyle w:val="ListParagraph"/>
        <w:numPr>
          <w:ilvl w:val="0"/>
          <w:numId w:val="3"/>
        </w:numPr>
        <w:spacing w:after="240"/>
        <w:contextualSpacing w:val="0"/>
        <w:rPr>
          <w:sz w:val="21"/>
          <w:szCs w:val="21"/>
        </w:rPr>
      </w:pPr>
      <w:r w:rsidRPr="00761660">
        <w:rPr>
          <w:b/>
          <w:bCs/>
          <w:sz w:val="21"/>
          <w:szCs w:val="21"/>
        </w:rPr>
        <w:t>Label syringes</w:t>
      </w:r>
      <w:r w:rsidR="00D114A5">
        <w:rPr>
          <w:sz w:val="21"/>
          <w:szCs w:val="21"/>
        </w:rPr>
        <w:t xml:space="preserve">. </w:t>
      </w:r>
      <w:r w:rsidR="00761660">
        <w:rPr>
          <w:sz w:val="21"/>
          <w:szCs w:val="21"/>
        </w:rPr>
        <w:t>Clearly label all syringes that do not come prefilled; print labels for each patient or provide practitioners who prepare vaccines with strips of preprinted labels that differentiate formulation and dose for each patient.</w:t>
      </w:r>
    </w:p>
    <w:p w14:paraId="5439045C" w14:textId="55962607" w:rsidR="00761660" w:rsidRDefault="00761660" w:rsidP="00B62843">
      <w:pPr>
        <w:pStyle w:val="ListParagraph"/>
        <w:numPr>
          <w:ilvl w:val="0"/>
          <w:numId w:val="3"/>
        </w:numPr>
        <w:spacing w:after="240"/>
        <w:contextualSpacing w:val="0"/>
        <w:rPr>
          <w:sz w:val="21"/>
          <w:szCs w:val="21"/>
        </w:rPr>
      </w:pPr>
      <w:r>
        <w:rPr>
          <w:b/>
          <w:bCs/>
          <w:sz w:val="21"/>
          <w:szCs w:val="21"/>
        </w:rPr>
        <w:t>Engage the patient</w:t>
      </w:r>
      <w:r w:rsidR="00D114A5">
        <w:rPr>
          <w:sz w:val="21"/>
          <w:szCs w:val="21"/>
        </w:rPr>
        <w:t xml:space="preserve">. </w:t>
      </w:r>
      <w:r>
        <w:rPr>
          <w:sz w:val="21"/>
          <w:szCs w:val="21"/>
        </w:rPr>
        <w:t xml:space="preserve">Involve the patient and their caregiver or parent in verifying vaccine, formulation, and dose by reviewing the label. </w:t>
      </w:r>
    </w:p>
    <w:p w14:paraId="516D42B2" w14:textId="1654FBAB" w:rsidR="00761660" w:rsidRDefault="00761660" w:rsidP="00B62843">
      <w:pPr>
        <w:pStyle w:val="ListParagraph"/>
        <w:numPr>
          <w:ilvl w:val="0"/>
          <w:numId w:val="3"/>
        </w:numPr>
        <w:spacing w:after="240"/>
        <w:contextualSpacing w:val="0"/>
        <w:rPr>
          <w:sz w:val="21"/>
          <w:szCs w:val="21"/>
        </w:rPr>
      </w:pPr>
      <w:r>
        <w:rPr>
          <w:b/>
          <w:bCs/>
          <w:sz w:val="21"/>
          <w:szCs w:val="21"/>
        </w:rPr>
        <w:t>Document the vaccine(s)</w:t>
      </w:r>
      <w:r w:rsidR="00D114A5">
        <w:rPr>
          <w:sz w:val="21"/>
          <w:szCs w:val="21"/>
        </w:rPr>
        <w:t xml:space="preserve">. </w:t>
      </w:r>
      <w:r>
        <w:rPr>
          <w:sz w:val="21"/>
          <w:szCs w:val="21"/>
        </w:rPr>
        <w:t>Document the</w:t>
      </w:r>
      <w:r w:rsidR="000F125A">
        <w:rPr>
          <w:sz w:val="21"/>
          <w:szCs w:val="21"/>
        </w:rPr>
        <w:t xml:space="preserve"> lot </w:t>
      </w:r>
      <w:r>
        <w:rPr>
          <w:sz w:val="21"/>
          <w:szCs w:val="21"/>
        </w:rPr>
        <w:t xml:space="preserve">number and </w:t>
      </w:r>
      <w:r w:rsidR="000F125A">
        <w:rPr>
          <w:sz w:val="21"/>
          <w:szCs w:val="21"/>
        </w:rPr>
        <w:t xml:space="preserve">expiration </w:t>
      </w:r>
      <w:r>
        <w:rPr>
          <w:sz w:val="21"/>
          <w:szCs w:val="21"/>
        </w:rPr>
        <w:t>date prior to administration. This is often the step where errors can be detected and mitigated.</w:t>
      </w:r>
    </w:p>
    <w:p w14:paraId="3A330CFF" w14:textId="1CFA4C31" w:rsidR="0060450E" w:rsidRPr="0060450E" w:rsidRDefault="00761660" w:rsidP="0060450E">
      <w:pPr>
        <w:pStyle w:val="ListParagraph"/>
        <w:numPr>
          <w:ilvl w:val="0"/>
          <w:numId w:val="3"/>
        </w:numPr>
        <w:spacing w:after="240"/>
        <w:contextualSpacing w:val="0"/>
        <w:rPr>
          <w:sz w:val="21"/>
          <w:szCs w:val="21"/>
        </w:rPr>
      </w:pPr>
      <w:r>
        <w:rPr>
          <w:b/>
          <w:bCs/>
          <w:sz w:val="21"/>
          <w:szCs w:val="21"/>
        </w:rPr>
        <w:t>Educate practitioners</w:t>
      </w:r>
      <w:r w:rsidR="00D114A5">
        <w:rPr>
          <w:sz w:val="21"/>
          <w:szCs w:val="21"/>
        </w:rPr>
        <w:t xml:space="preserve">. </w:t>
      </w:r>
      <w:r>
        <w:rPr>
          <w:sz w:val="21"/>
          <w:szCs w:val="21"/>
        </w:rPr>
        <w:t>Educate staff about new vaccine products and when adding new vaccines to formulary, provide resources listing indication and vaccine schedules, share impactful stories, and print ISMP’s</w:t>
      </w:r>
      <w:r w:rsidR="00DB51D7">
        <w:rPr>
          <w:sz w:val="21"/>
          <w:szCs w:val="21"/>
        </w:rPr>
        <w:t xml:space="preserve"> table (</w:t>
      </w:r>
      <w:hyperlink r:id="rId10" w:history="1">
        <w:r w:rsidR="005577AB" w:rsidRPr="007E690F">
          <w:rPr>
            <w:rStyle w:val="Hyperlink"/>
          </w:rPr>
          <w:t>www.ismp.org/ext/55</w:t>
        </w:r>
      </w:hyperlink>
      <w:r w:rsidR="00DB51D7">
        <w:rPr>
          <w:rStyle w:val="Hyperlink"/>
          <w:color w:val="auto"/>
          <w:u w:val="none"/>
        </w:rPr>
        <w:t>) as a teaching tool.</w:t>
      </w:r>
    </w:p>
    <w:p w14:paraId="42254B1A" w14:textId="44873ADA" w:rsidR="0060450E" w:rsidRDefault="0060450E" w:rsidP="0060450E">
      <w:r w:rsidRPr="0060450E">
        <w:rPr>
          <w:sz w:val="21"/>
          <w:szCs w:val="21"/>
        </w:rPr>
        <w:t>ISMP also has encouraged m</w:t>
      </w:r>
      <w:r w:rsidRPr="0060450E">
        <w:t>anufacturers</w:t>
      </w:r>
      <w:r w:rsidR="00FD5CD2">
        <w:t xml:space="preserve"> and </w:t>
      </w:r>
      <w:r w:rsidR="00AA6519">
        <w:t>the U.S. Food and Drug Administration (</w:t>
      </w:r>
      <w:r w:rsidR="00FD5CD2">
        <w:t>FDA</w:t>
      </w:r>
      <w:r w:rsidR="00AA6519">
        <w:t>)</w:t>
      </w:r>
      <w:r w:rsidRPr="0060450E">
        <w:t xml:space="preserve"> to review labeling strategies to reduce the risk of age-related vaccine mix-ups. One recommended strategy is to prominently display </w:t>
      </w:r>
      <w:r w:rsidRPr="0060450E">
        <w:rPr>
          <w:b/>
          <w:bCs/>
        </w:rPr>
        <w:t>PEDIATRIC</w:t>
      </w:r>
      <w:r w:rsidRPr="0060450E">
        <w:t xml:space="preserve"> or </w:t>
      </w:r>
      <w:r w:rsidRPr="0060450E">
        <w:rPr>
          <w:b/>
          <w:bCs/>
        </w:rPr>
        <w:t>ADULT</w:t>
      </w:r>
      <w:r w:rsidRPr="0060450E">
        <w:t xml:space="preserve"> formulations in a different color on the top of the cartons, vials, and on syringe labels. </w:t>
      </w:r>
    </w:p>
    <w:p w14:paraId="69C65C33" w14:textId="77777777" w:rsidR="0060450E" w:rsidRPr="0060450E" w:rsidRDefault="0060450E" w:rsidP="0060450E">
      <w:pPr>
        <w:spacing w:before="120"/>
      </w:pPr>
    </w:p>
    <w:p w14:paraId="12CBF451" w14:textId="46ECE860" w:rsidR="00D114A5" w:rsidRDefault="00DB51D7" w:rsidP="0060450E">
      <w:pPr>
        <w:rPr>
          <w:rFonts w:cs="Arial"/>
          <w:sz w:val="21"/>
          <w:szCs w:val="21"/>
        </w:rPr>
      </w:pPr>
      <w:r>
        <w:rPr>
          <w:rFonts w:cs="Arial"/>
          <w:sz w:val="21"/>
          <w:szCs w:val="21"/>
        </w:rPr>
        <w:t xml:space="preserve">For a copy of the </w:t>
      </w:r>
      <w:r w:rsidR="00D114A5">
        <w:rPr>
          <w:rFonts w:cs="Arial"/>
          <w:sz w:val="21"/>
          <w:szCs w:val="21"/>
        </w:rPr>
        <w:t>September 12, 2022</w:t>
      </w:r>
      <w:r w:rsidR="0060450E">
        <w:rPr>
          <w:rFonts w:cs="Arial"/>
          <w:sz w:val="21"/>
          <w:szCs w:val="21"/>
        </w:rPr>
        <w:t>,</w:t>
      </w:r>
      <w:r w:rsidR="00D114A5">
        <w:rPr>
          <w:rFonts w:cs="Arial"/>
          <w:sz w:val="21"/>
          <w:szCs w:val="21"/>
        </w:rPr>
        <w:t xml:space="preserve"> </w:t>
      </w:r>
      <w:r w:rsidR="003A5F72" w:rsidRPr="00A81EFE">
        <w:rPr>
          <w:rFonts w:cs="Arial"/>
          <w:i/>
          <w:iCs/>
          <w:sz w:val="21"/>
          <w:szCs w:val="21"/>
        </w:rPr>
        <w:t>ISMP Medication Safety Alert!</w:t>
      </w:r>
      <w:r w:rsidR="003A5F72" w:rsidRPr="00A81EFE">
        <w:rPr>
          <w:rFonts w:cs="Arial"/>
          <w:i/>
          <w:iCs/>
          <w:sz w:val="21"/>
          <w:szCs w:val="21"/>
          <w:vertAlign w:val="superscript"/>
        </w:rPr>
        <w:t xml:space="preserve">® </w:t>
      </w:r>
      <w:r w:rsidR="003A5F72" w:rsidRPr="00A81EFE">
        <w:rPr>
          <w:rFonts w:cs="Arial"/>
          <w:i/>
          <w:iCs/>
          <w:sz w:val="21"/>
          <w:szCs w:val="21"/>
        </w:rPr>
        <w:t>Acute Care</w:t>
      </w:r>
      <w:r w:rsidR="003A5F72">
        <w:rPr>
          <w:rFonts w:cs="Arial"/>
          <w:sz w:val="21"/>
          <w:szCs w:val="21"/>
        </w:rPr>
        <w:t xml:space="preserve"> newsletter </w:t>
      </w:r>
      <w:r w:rsidR="00D114A5">
        <w:rPr>
          <w:sz w:val="21"/>
          <w:szCs w:val="21"/>
        </w:rPr>
        <w:t>cover article with more details and the full list of recommendations</w:t>
      </w:r>
      <w:r w:rsidR="00D114A5" w:rsidRPr="00A866B8">
        <w:rPr>
          <w:sz w:val="21"/>
          <w:szCs w:val="21"/>
        </w:rPr>
        <w:t>, visit</w:t>
      </w:r>
      <w:r w:rsidR="00D114A5" w:rsidRPr="00A866B8">
        <w:rPr>
          <w:rFonts w:cs="Arial"/>
          <w:sz w:val="21"/>
          <w:szCs w:val="21"/>
        </w:rPr>
        <w:t>:</w:t>
      </w:r>
      <w:r w:rsidR="00D114A5">
        <w:rPr>
          <w:rFonts w:cs="Arial"/>
          <w:sz w:val="21"/>
          <w:szCs w:val="21"/>
        </w:rPr>
        <w:t xml:space="preserve"> </w:t>
      </w:r>
      <w:hyperlink r:id="rId11" w:tgtFrame="_blank" w:tooltip="https://www.ismp.org/node/39582" w:history="1">
        <w:r w:rsidR="008670E5">
          <w:rPr>
            <w:rStyle w:val="Hyperlink"/>
            <w:rFonts w:ascii="Segoe UI" w:hAnsi="Segoe UI" w:cs="Segoe UI"/>
            <w:color w:val="4F52B2"/>
            <w:sz w:val="21"/>
            <w:szCs w:val="21"/>
            <w:shd w:val="clear" w:color="auto" w:fill="FFFFFF"/>
          </w:rPr>
          <w:t>https://www.ismp.org/node/39582</w:t>
        </w:r>
      </w:hyperlink>
    </w:p>
    <w:p w14:paraId="161150E7" w14:textId="77777777" w:rsidR="00C52AD0" w:rsidRDefault="00C52AD0" w:rsidP="003978E8">
      <w:pPr>
        <w:pStyle w:val="NormalWeb"/>
        <w:spacing w:before="0" w:beforeAutospacing="0" w:after="0" w:afterAutospacing="0"/>
        <w:rPr>
          <w:b/>
          <w:bCs/>
          <w:color w:val="000000"/>
          <w:spacing w:val="2"/>
          <w:sz w:val="18"/>
          <w:szCs w:val="18"/>
          <w:shd w:val="clear" w:color="auto" w:fill="FFFFFF"/>
        </w:rPr>
      </w:pPr>
    </w:p>
    <w:p w14:paraId="2391E167" w14:textId="32039DEA" w:rsidR="003978E8" w:rsidRPr="004A1D64" w:rsidRDefault="003978E8" w:rsidP="003978E8">
      <w:pPr>
        <w:pStyle w:val="NormalWeb"/>
        <w:spacing w:before="0" w:beforeAutospacing="0" w:after="0" w:afterAutospacing="0"/>
        <w:rPr>
          <w:b/>
          <w:bCs/>
          <w:color w:val="000000"/>
          <w:spacing w:val="2"/>
          <w:sz w:val="18"/>
          <w:szCs w:val="18"/>
          <w:shd w:val="clear" w:color="auto" w:fill="FFFFFF"/>
        </w:rPr>
      </w:pPr>
      <w:r w:rsidRPr="004A1D64">
        <w:rPr>
          <w:b/>
          <w:bCs/>
          <w:color w:val="000000"/>
          <w:spacing w:val="2"/>
          <w:sz w:val="18"/>
          <w:szCs w:val="18"/>
          <w:shd w:val="clear" w:color="auto" w:fill="FFFFFF"/>
        </w:rPr>
        <w:t>About the Institute for Safe Medication Practices</w:t>
      </w:r>
    </w:p>
    <w:p w14:paraId="0962B027" w14:textId="35566DC5" w:rsidR="003978E8" w:rsidRPr="003A5F72" w:rsidRDefault="003978E8" w:rsidP="003978E8">
      <w:pPr>
        <w:pStyle w:val="NormalWeb"/>
        <w:shd w:val="clear" w:color="auto" w:fill="FFFFFF"/>
        <w:spacing w:before="0" w:beforeAutospacing="0" w:after="0" w:afterAutospacing="0"/>
        <w:rPr>
          <w:color w:val="141414"/>
          <w:sz w:val="18"/>
          <w:szCs w:val="18"/>
        </w:rPr>
      </w:pPr>
      <w:r w:rsidRPr="004A1D64">
        <w:rPr>
          <w:color w:val="000000"/>
          <w:spacing w:val="2"/>
          <w:sz w:val="18"/>
          <w:szCs w:val="18"/>
          <w:shd w:val="clear" w:color="auto" w:fill="FFFFFF"/>
        </w:rPr>
        <w:t xml:space="preserve">The Institute for Safe Medication Practices (ISMP) is the nation’s first 501c (3) nonprofit organization devoted entirely to preventing medication errors. </w:t>
      </w:r>
      <w:r w:rsidRPr="004A1D64">
        <w:rPr>
          <w:color w:val="141414"/>
          <w:sz w:val="18"/>
          <w:szCs w:val="18"/>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2" w:history="1">
        <w:r w:rsidRPr="004A1D64">
          <w:rPr>
            <w:rStyle w:val="Hyperlink"/>
            <w:sz w:val="18"/>
            <w:szCs w:val="18"/>
          </w:rPr>
          <w:t>www.ismp.org</w:t>
        </w:r>
      </w:hyperlink>
      <w:r w:rsidRPr="004A1D64">
        <w:rPr>
          <w:color w:val="141414"/>
          <w:sz w:val="18"/>
          <w:szCs w:val="18"/>
        </w:rPr>
        <w:t xml:space="preserve"> and follow @ismp_org to learn more. </w:t>
      </w:r>
    </w:p>
    <w:sectPr w:rsidR="003978E8" w:rsidRPr="003A5F72" w:rsidSect="004764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20ED" w14:textId="77777777" w:rsidR="000F2566" w:rsidRDefault="000F2566" w:rsidP="00927FB4">
      <w:pPr>
        <w:spacing w:line="240" w:lineRule="auto"/>
      </w:pPr>
      <w:r>
        <w:separator/>
      </w:r>
    </w:p>
  </w:endnote>
  <w:endnote w:type="continuationSeparator" w:id="0">
    <w:p w14:paraId="73999306" w14:textId="77777777" w:rsidR="000F2566" w:rsidRDefault="000F2566"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00BA" w14:textId="77777777" w:rsidR="000F2566" w:rsidRDefault="000F2566" w:rsidP="00927FB4">
      <w:pPr>
        <w:spacing w:line="240" w:lineRule="auto"/>
      </w:pPr>
      <w:r>
        <w:separator/>
      </w:r>
    </w:p>
  </w:footnote>
  <w:footnote w:type="continuationSeparator" w:id="0">
    <w:p w14:paraId="7667B8A8" w14:textId="77777777" w:rsidR="000F2566" w:rsidRDefault="000F2566"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8752"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61312"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48855F7" id="Straight Connector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512C"/>
    <w:rsid w:val="000071E1"/>
    <w:rsid w:val="000951C2"/>
    <w:rsid w:val="000C20B2"/>
    <w:rsid w:val="000D4249"/>
    <w:rsid w:val="000D5D77"/>
    <w:rsid w:val="000F125A"/>
    <w:rsid w:val="000F2566"/>
    <w:rsid w:val="00107C87"/>
    <w:rsid w:val="0011499F"/>
    <w:rsid w:val="001E074F"/>
    <w:rsid w:val="00201FCB"/>
    <w:rsid w:val="00203C6C"/>
    <w:rsid w:val="0020657B"/>
    <w:rsid w:val="0026602F"/>
    <w:rsid w:val="00287C24"/>
    <w:rsid w:val="002A0275"/>
    <w:rsid w:val="003559C4"/>
    <w:rsid w:val="003848EF"/>
    <w:rsid w:val="003978E8"/>
    <w:rsid w:val="003A5F72"/>
    <w:rsid w:val="003C2599"/>
    <w:rsid w:val="003E5B02"/>
    <w:rsid w:val="003F0BB3"/>
    <w:rsid w:val="003F21F5"/>
    <w:rsid w:val="003F42C6"/>
    <w:rsid w:val="004526CD"/>
    <w:rsid w:val="0047646D"/>
    <w:rsid w:val="00484E5F"/>
    <w:rsid w:val="004A03C8"/>
    <w:rsid w:val="004D3D49"/>
    <w:rsid w:val="004D4E2B"/>
    <w:rsid w:val="004D562C"/>
    <w:rsid w:val="004F077D"/>
    <w:rsid w:val="004F13A3"/>
    <w:rsid w:val="004F34FD"/>
    <w:rsid w:val="0052572B"/>
    <w:rsid w:val="00536CF2"/>
    <w:rsid w:val="005418E5"/>
    <w:rsid w:val="005514B9"/>
    <w:rsid w:val="00552443"/>
    <w:rsid w:val="0055644A"/>
    <w:rsid w:val="005577AB"/>
    <w:rsid w:val="005631BC"/>
    <w:rsid w:val="005870AB"/>
    <w:rsid w:val="005B4E7C"/>
    <w:rsid w:val="005C6BD1"/>
    <w:rsid w:val="0060450E"/>
    <w:rsid w:val="00604F7A"/>
    <w:rsid w:val="00606B12"/>
    <w:rsid w:val="00655215"/>
    <w:rsid w:val="00683F08"/>
    <w:rsid w:val="006938E8"/>
    <w:rsid w:val="006C2AF9"/>
    <w:rsid w:val="006D3941"/>
    <w:rsid w:val="0070630B"/>
    <w:rsid w:val="007150D6"/>
    <w:rsid w:val="0072017C"/>
    <w:rsid w:val="00761660"/>
    <w:rsid w:val="007C500C"/>
    <w:rsid w:val="007D3140"/>
    <w:rsid w:val="007F2FDF"/>
    <w:rsid w:val="008670E5"/>
    <w:rsid w:val="008D05AA"/>
    <w:rsid w:val="008E1DF1"/>
    <w:rsid w:val="00916EA0"/>
    <w:rsid w:val="00927FB4"/>
    <w:rsid w:val="0094334A"/>
    <w:rsid w:val="0094400B"/>
    <w:rsid w:val="009666D6"/>
    <w:rsid w:val="00975261"/>
    <w:rsid w:val="0097698C"/>
    <w:rsid w:val="00993741"/>
    <w:rsid w:val="009B4B91"/>
    <w:rsid w:val="009C237F"/>
    <w:rsid w:val="009E3671"/>
    <w:rsid w:val="009F45E6"/>
    <w:rsid w:val="00A130F6"/>
    <w:rsid w:val="00A20B12"/>
    <w:rsid w:val="00A73222"/>
    <w:rsid w:val="00A948D1"/>
    <w:rsid w:val="00AA0905"/>
    <w:rsid w:val="00AA6519"/>
    <w:rsid w:val="00AB60FC"/>
    <w:rsid w:val="00AC07B2"/>
    <w:rsid w:val="00AD6957"/>
    <w:rsid w:val="00AF0E99"/>
    <w:rsid w:val="00B01C38"/>
    <w:rsid w:val="00B11A21"/>
    <w:rsid w:val="00B3734E"/>
    <w:rsid w:val="00B62843"/>
    <w:rsid w:val="00B66B9F"/>
    <w:rsid w:val="00B72C83"/>
    <w:rsid w:val="00B74754"/>
    <w:rsid w:val="00C03A8F"/>
    <w:rsid w:val="00C07D03"/>
    <w:rsid w:val="00C37F76"/>
    <w:rsid w:val="00C52AD0"/>
    <w:rsid w:val="00C62A62"/>
    <w:rsid w:val="00C8274E"/>
    <w:rsid w:val="00CE3719"/>
    <w:rsid w:val="00D114A5"/>
    <w:rsid w:val="00D277D7"/>
    <w:rsid w:val="00D50E55"/>
    <w:rsid w:val="00D5197D"/>
    <w:rsid w:val="00DB51D7"/>
    <w:rsid w:val="00DC525C"/>
    <w:rsid w:val="00DC5E14"/>
    <w:rsid w:val="00E519BB"/>
    <w:rsid w:val="00E85683"/>
    <w:rsid w:val="00EE245C"/>
    <w:rsid w:val="00F22EF7"/>
    <w:rsid w:val="00F4090A"/>
    <w:rsid w:val="00F70B19"/>
    <w:rsid w:val="00F86771"/>
    <w:rsid w:val="00FA6C1C"/>
    <w:rsid w:val="00FB5307"/>
    <w:rsid w:val="00FC79B1"/>
    <w:rsid w:val="00FD5CD2"/>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m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mp.org/node/3958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mp.org/ext/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customXml/itemProps2.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69FDF-742D-49DC-A95C-67CE4646E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2022-09-20T14:11:00Z</cp:lastPrinted>
  <dcterms:created xsi:type="dcterms:W3CDTF">2022-09-22T18:39:00Z</dcterms:created>
  <dcterms:modified xsi:type="dcterms:W3CDTF">2022-09-22T18:39:00Z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