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5870AB">
        <w:trPr>
          <w:trHeight w:val="288"/>
        </w:trPr>
        <w:tc>
          <w:tcPr>
            <w:tcW w:w="4734"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6138"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5870AB">
        <w:trPr>
          <w:trHeight w:val="360"/>
        </w:trPr>
        <w:tc>
          <w:tcPr>
            <w:tcW w:w="4734" w:type="dxa"/>
            <w:shd w:val="clear" w:color="auto" w:fill="auto"/>
            <w:vAlign w:val="bottom"/>
          </w:tcPr>
          <w:p w14:paraId="7AF6B19A" w14:textId="0EBBECC6" w:rsidR="0000512C" w:rsidRPr="006B6780" w:rsidRDefault="00FC79B1" w:rsidP="00FC7ACF">
            <w:r w:rsidRPr="004D3D49">
              <w:t>August 1</w:t>
            </w:r>
            <w:r w:rsidR="005C6BD1" w:rsidRPr="004D3D49">
              <w:t>2</w:t>
            </w:r>
            <w:r w:rsidR="0000512C" w:rsidRPr="004D3D49">
              <w:t>, 2022</w:t>
            </w:r>
          </w:p>
        </w:tc>
        <w:tc>
          <w:tcPr>
            <w:tcW w:w="6138"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5870AB">
        <w:trPr>
          <w:trHeight w:val="360"/>
        </w:trPr>
        <w:tc>
          <w:tcPr>
            <w:tcW w:w="4734" w:type="dxa"/>
            <w:shd w:val="clear" w:color="auto" w:fill="auto"/>
            <w:vAlign w:val="bottom"/>
          </w:tcPr>
          <w:p w14:paraId="74FE7BC4" w14:textId="77777777" w:rsidR="0000512C" w:rsidRPr="006B6780" w:rsidRDefault="0000512C" w:rsidP="00FC7ACF"/>
        </w:tc>
        <w:tc>
          <w:tcPr>
            <w:tcW w:w="6138" w:type="dxa"/>
            <w:shd w:val="clear" w:color="auto" w:fill="auto"/>
            <w:vAlign w:val="bottom"/>
          </w:tcPr>
          <w:p w14:paraId="61DEF72D" w14:textId="77777777" w:rsidR="0000512C" w:rsidRDefault="0000512C" w:rsidP="00FC7ACF">
            <w:r>
              <w:t>rbrehio@ismp.org • 614-376-0212</w:t>
            </w:r>
          </w:p>
        </w:tc>
      </w:tr>
    </w:tbl>
    <w:p w14:paraId="68910AA0" w14:textId="3CE69CDA" w:rsidR="00FC79B1" w:rsidRDefault="003978E8" w:rsidP="00FC79B1">
      <w:pPr>
        <w:pStyle w:val="Heading2"/>
        <w:spacing w:before="720"/>
        <w:jc w:val="center"/>
        <w:rPr>
          <w:sz w:val="30"/>
          <w:szCs w:val="30"/>
        </w:rPr>
      </w:pPr>
      <w:r w:rsidRPr="00FC79B1">
        <w:rPr>
          <w:sz w:val="30"/>
          <w:szCs w:val="30"/>
        </w:rPr>
        <w:t xml:space="preserve">ISMP Launches New </w:t>
      </w:r>
      <w:r w:rsidR="00FC79B1" w:rsidRPr="00FC79B1">
        <w:rPr>
          <w:sz w:val="30"/>
          <w:szCs w:val="30"/>
        </w:rPr>
        <w:t>Perioperative</w:t>
      </w:r>
    </w:p>
    <w:p w14:paraId="7E5D2412" w14:textId="0CE5D7B6" w:rsidR="003978E8" w:rsidRPr="00FC79B1" w:rsidRDefault="00FC79B1" w:rsidP="00FC79B1">
      <w:pPr>
        <w:pStyle w:val="Heading2"/>
        <w:spacing w:before="0"/>
        <w:jc w:val="center"/>
        <w:rPr>
          <w:sz w:val="30"/>
          <w:szCs w:val="30"/>
        </w:rPr>
      </w:pPr>
      <w:r w:rsidRPr="00FC79B1">
        <w:rPr>
          <w:sz w:val="30"/>
          <w:szCs w:val="30"/>
        </w:rPr>
        <w:t>Medication Safety Guidelines</w:t>
      </w:r>
    </w:p>
    <w:p w14:paraId="33669C6C" w14:textId="73FF85D5" w:rsidR="00FC79B1" w:rsidRPr="00FC79B1" w:rsidRDefault="003978E8" w:rsidP="00FC79B1">
      <w:pPr>
        <w:pStyle w:val="Heading3"/>
        <w:spacing w:before="0" w:after="240"/>
        <w:jc w:val="center"/>
        <w:rPr>
          <w:sz w:val="22"/>
          <w:szCs w:val="22"/>
        </w:rPr>
      </w:pPr>
      <w:r w:rsidRPr="00FC79B1">
        <w:rPr>
          <w:i/>
          <w:iCs/>
          <w:sz w:val="22"/>
          <w:szCs w:val="22"/>
        </w:rPr>
        <w:t>Recommendations Address Key Issues in Inpatient and Ambulatory Settings</w:t>
      </w:r>
    </w:p>
    <w:p w14:paraId="563DBD13" w14:textId="028B97EE" w:rsidR="003978E8" w:rsidRPr="004A1D64" w:rsidRDefault="003978E8" w:rsidP="003978E8">
      <w:pPr>
        <w:pStyle w:val="Heading3"/>
        <w:spacing w:before="0"/>
        <w:rPr>
          <w:i/>
          <w:iCs/>
          <w:sz w:val="20"/>
          <w:szCs w:val="20"/>
        </w:rPr>
      </w:pPr>
      <w:r w:rsidRPr="004A1D64">
        <w:rPr>
          <w:sz w:val="20"/>
          <w:szCs w:val="20"/>
        </w:rPr>
        <w:t xml:space="preserve">                                                        </w:t>
      </w:r>
    </w:p>
    <w:p w14:paraId="198B6988" w14:textId="6C3B4809" w:rsidR="003978E8" w:rsidRPr="00B11A21" w:rsidRDefault="003978E8" w:rsidP="003978E8">
      <w:pPr>
        <w:rPr>
          <w:rFonts w:cs="Arial"/>
          <w:color w:val="000000"/>
          <w:sz w:val="21"/>
          <w:szCs w:val="21"/>
          <w:shd w:val="clear" w:color="auto" w:fill="FFFFFF"/>
        </w:rPr>
      </w:pPr>
      <w:r w:rsidRPr="00B11A21">
        <w:rPr>
          <w:b/>
          <w:bCs/>
          <w:sz w:val="21"/>
          <w:szCs w:val="21"/>
        </w:rPr>
        <w:t>Plymouth Meeting, Pa.</w:t>
      </w:r>
      <w:r w:rsidRPr="00B11A21">
        <w:rPr>
          <w:sz w:val="21"/>
          <w:szCs w:val="21"/>
        </w:rPr>
        <w:t>– Perioperative and procedural settings present a unique set of medication safety challenges due to the complexity</w:t>
      </w:r>
      <w:r w:rsidR="0055644A" w:rsidRPr="00B11A21">
        <w:rPr>
          <w:sz w:val="21"/>
          <w:szCs w:val="21"/>
        </w:rPr>
        <w:t>, numerous handoffs,</w:t>
      </w:r>
      <w:r w:rsidRPr="00B11A21">
        <w:rPr>
          <w:sz w:val="21"/>
          <w:szCs w:val="21"/>
        </w:rPr>
        <w:t xml:space="preserve"> and fast pace of patient care. The Institute for Safe Medication Practices (ISMP) has published the first set of safe practice guidelines to </w:t>
      </w:r>
      <w:r w:rsidRPr="00B11A21">
        <w:rPr>
          <w:rFonts w:cs="Arial"/>
          <w:color w:val="000000"/>
          <w:sz w:val="21"/>
          <w:szCs w:val="21"/>
          <w:shd w:val="clear" w:color="auto" w:fill="FFFFFF"/>
        </w:rPr>
        <w:t>support hospitals, ambulatory surgery centers (ASCs), and other procedural locations in addressing identified national gaps in medication safety, including implementation of organization-specific plans to reduce harmful patient events. </w:t>
      </w:r>
    </w:p>
    <w:p w14:paraId="145C41E7" w14:textId="77777777" w:rsidR="003978E8" w:rsidRPr="00B11A21" w:rsidRDefault="003978E8" w:rsidP="003978E8">
      <w:pPr>
        <w:rPr>
          <w:rFonts w:cs="Arial"/>
          <w:color w:val="000000"/>
          <w:sz w:val="21"/>
          <w:szCs w:val="21"/>
          <w:shd w:val="clear" w:color="auto" w:fill="FFFFFF"/>
        </w:rPr>
      </w:pPr>
    </w:p>
    <w:p w14:paraId="3258F6F0" w14:textId="761C2E1C" w:rsidR="003978E8" w:rsidRPr="00B11A21" w:rsidRDefault="003978E8" w:rsidP="003978E8">
      <w:pPr>
        <w:rPr>
          <w:rFonts w:cs="Arial"/>
          <w:sz w:val="21"/>
          <w:szCs w:val="21"/>
        </w:rPr>
      </w:pPr>
      <w:r w:rsidRPr="00B11A21">
        <w:rPr>
          <w:rFonts w:cs="Arial"/>
          <w:sz w:val="21"/>
          <w:szCs w:val="21"/>
        </w:rPr>
        <w:t xml:space="preserve">“ISMP hopes healthcare </w:t>
      </w:r>
      <w:r w:rsidRPr="00B11A21">
        <w:rPr>
          <w:sz w:val="21"/>
          <w:szCs w:val="21"/>
        </w:rPr>
        <w:t xml:space="preserve">organizations and practitioners use the new guidelines to proactively identify and prioritize gaps in </w:t>
      </w:r>
      <w:r w:rsidR="00FC79B1" w:rsidRPr="00B11A21">
        <w:rPr>
          <w:sz w:val="21"/>
          <w:szCs w:val="21"/>
        </w:rPr>
        <w:t xml:space="preserve">their </w:t>
      </w:r>
      <w:r w:rsidRPr="00B11A21">
        <w:rPr>
          <w:sz w:val="21"/>
          <w:szCs w:val="21"/>
        </w:rPr>
        <w:t>medication systems and practices that are not being recognized through medication error reporting and analysis</w:t>
      </w:r>
      <w:r w:rsidRPr="00B11A21">
        <w:rPr>
          <w:rFonts w:cs="Arial"/>
          <w:sz w:val="21"/>
          <w:szCs w:val="21"/>
        </w:rPr>
        <w:t xml:space="preserve">,” says ISMP President Rita K. Jew, </w:t>
      </w:r>
      <w:r w:rsidRPr="00B11A21">
        <w:rPr>
          <w:rFonts w:cs="Arial"/>
          <w:color w:val="141414"/>
          <w:spacing w:val="2"/>
          <w:sz w:val="21"/>
          <w:szCs w:val="21"/>
          <w:shd w:val="clear" w:color="auto" w:fill="FFFFFF"/>
        </w:rPr>
        <w:t>PharmD, MBA, BCPPS, FASHP.</w:t>
      </w:r>
      <w:r w:rsidRPr="00B11A21">
        <w:rPr>
          <w:rFonts w:cs="Arial"/>
          <w:sz w:val="21"/>
          <w:szCs w:val="21"/>
        </w:rPr>
        <w:t xml:space="preserve"> “</w:t>
      </w:r>
      <w:r w:rsidR="00FC79B1" w:rsidRPr="00B11A21">
        <w:rPr>
          <w:rFonts w:cs="Arial"/>
          <w:sz w:val="21"/>
          <w:szCs w:val="21"/>
        </w:rPr>
        <w:t>The recommendations</w:t>
      </w:r>
      <w:r w:rsidRPr="00B11A21">
        <w:rPr>
          <w:rFonts w:cs="Arial"/>
          <w:sz w:val="21"/>
          <w:szCs w:val="21"/>
        </w:rPr>
        <w:t xml:space="preserve"> are not just for hospitals--ambulatory sites, including ASCs, can also use </w:t>
      </w:r>
      <w:r w:rsidR="00FC79B1" w:rsidRPr="00B11A21">
        <w:rPr>
          <w:rFonts w:cs="Arial"/>
          <w:sz w:val="21"/>
          <w:szCs w:val="21"/>
        </w:rPr>
        <w:t>them</w:t>
      </w:r>
      <w:r w:rsidRPr="00B11A21">
        <w:rPr>
          <w:rFonts w:cs="Arial"/>
          <w:sz w:val="21"/>
          <w:szCs w:val="21"/>
        </w:rPr>
        <w:t xml:space="preserve"> as a roadmap to limit risk.”</w:t>
      </w:r>
    </w:p>
    <w:p w14:paraId="1A061B9F" w14:textId="77777777" w:rsidR="003978E8" w:rsidRPr="00B11A21" w:rsidRDefault="003978E8" w:rsidP="003978E8">
      <w:pPr>
        <w:rPr>
          <w:rFonts w:cs="Arial"/>
          <w:color w:val="000000"/>
          <w:sz w:val="21"/>
          <w:szCs w:val="21"/>
          <w:shd w:val="clear" w:color="auto" w:fill="FFFFFF"/>
        </w:rPr>
      </w:pPr>
    </w:p>
    <w:p w14:paraId="775E72B5" w14:textId="7AD41FB2" w:rsidR="003978E8" w:rsidRPr="00B11A21" w:rsidRDefault="003978E8" w:rsidP="003978E8">
      <w:pPr>
        <w:pStyle w:val="NormalWeb"/>
        <w:shd w:val="clear" w:color="auto" w:fill="FFFFFF"/>
        <w:spacing w:before="0" w:beforeAutospacing="0" w:after="240" w:afterAutospacing="0"/>
        <w:rPr>
          <w:rFonts w:ascii="Arial" w:hAnsi="Arial" w:cs="Arial"/>
          <w:color w:val="141414"/>
          <w:sz w:val="21"/>
          <w:szCs w:val="21"/>
        </w:rPr>
      </w:pPr>
      <w:r w:rsidRPr="00B11A21">
        <w:rPr>
          <w:rStyle w:val="Strong"/>
          <w:rFonts w:ascii="Arial" w:hAnsi="Arial" w:cs="Arial"/>
          <w:b w:val="0"/>
          <w:bCs w:val="0"/>
          <w:color w:val="141414"/>
          <w:sz w:val="21"/>
          <w:szCs w:val="21"/>
        </w:rPr>
        <w:t xml:space="preserve">The </w:t>
      </w:r>
      <w:r w:rsidRPr="00B11A21">
        <w:rPr>
          <w:rStyle w:val="Strong"/>
          <w:rFonts w:ascii="Arial" w:hAnsi="Arial" w:cs="Arial"/>
          <w:b w:val="0"/>
          <w:bCs w:val="0"/>
          <w:i/>
          <w:iCs/>
          <w:color w:val="141414"/>
          <w:sz w:val="21"/>
          <w:szCs w:val="21"/>
        </w:rPr>
        <w:t>ISMP Guidelines for Safe Medication Use in Perioperative and Procedural Settings</w:t>
      </w:r>
      <w:r w:rsidRPr="00B11A21">
        <w:rPr>
          <w:rStyle w:val="Strong"/>
          <w:rFonts w:ascii="Arial" w:hAnsi="Arial" w:cs="Arial"/>
          <w:b w:val="0"/>
          <w:bCs w:val="0"/>
          <w:color w:val="141414"/>
          <w:sz w:val="21"/>
          <w:szCs w:val="21"/>
        </w:rPr>
        <w:t>:</w:t>
      </w:r>
    </w:p>
    <w:p w14:paraId="7D6382AF" w14:textId="5BD4D78D" w:rsidR="003978E8" w:rsidRPr="00B11A21" w:rsidRDefault="003978E8" w:rsidP="00FC79B1">
      <w:pPr>
        <w:numPr>
          <w:ilvl w:val="0"/>
          <w:numId w:val="2"/>
        </w:numPr>
        <w:shd w:val="clear" w:color="auto" w:fill="FFFFFF"/>
        <w:spacing w:before="120" w:after="240" w:line="240" w:lineRule="auto"/>
        <w:textAlignment w:val="baseline"/>
        <w:rPr>
          <w:rFonts w:eastAsia="Times New Roman" w:cs="Arial"/>
          <w:color w:val="000000"/>
          <w:sz w:val="21"/>
          <w:szCs w:val="21"/>
        </w:rPr>
      </w:pPr>
      <w:r w:rsidRPr="00B11A21">
        <w:rPr>
          <w:rFonts w:eastAsia="Times New Roman" w:cs="Arial"/>
          <w:color w:val="000000"/>
          <w:sz w:val="21"/>
          <w:szCs w:val="21"/>
        </w:rPr>
        <w:t>Address best practices associated with labeling and storage of medications across                                    all phases of perioperative care</w:t>
      </w:r>
      <w:r w:rsidR="0011499F">
        <w:rPr>
          <w:rFonts w:eastAsia="Times New Roman" w:cs="Arial"/>
          <w:color w:val="000000"/>
          <w:sz w:val="21"/>
          <w:szCs w:val="21"/>
        </w:rPr>
        <w:t>.</w:t>
      </w:r>
    </w:p>
    <w:p w14:paraId="6D997A5E" w14:textId="0F5E177D" w:rsidR="003978E8" w:rsidRPr="00B11A21" w:rsidRDefault="003978E8" w:rsidP="00FC79B1">
      <w:pPr>
        <w:pStyle w:val="NormalWeb"/>
        <w:numPr>
          <w:ilvl w:val="0"/>
          <w:numId w:val="2"/>
        </w:numPr>
        <w:shd w:val="clear" w:color="auto" w:fill="FFFFFF"/>
        <w:spacing w:before="120" w:beforeAutospacing="0" w:after="240" w:afterAutospacing="0"/>
        <w:rPr>
          <w:rFonts w:ascii="Arial" w:hAnsi="Arial" w:cs="Arial"/>
          <w:color w:val="141414"/>
          <w:sz w:val="21"/>
          <w:szCs w:val="21"/>
        </w:rPr>
      </w:pPr>
      <w:r w:rsidRPr="00B11A21">
        <w:rPr>
          <w:rStyle w:val="Strong"/>
          <w:rFonts w:ascii="Arial" w:hAnsi="Arial" w:cs="Arial"/>
          <w:b w:val="0"/>
          <w:bCs w:val="0"/>
          <w:color w:val="141414"/>
          <w:sz w:val="21"/>
          <w:szCs w:val="21"/>
        </w:rPr>
        <w:t>Cover key elements including drug labeling/packaging, drug standardization, and medication delivery device acquisition, use, and monitoring</w:t>
      </w:r>
      <w:r w:rsidR="0011499F">
        <w:rPr>
          <w:rStyle w:val="Strong"/>
          <w:rFonts w:ascii="Arial" w:hAnsi="Arial" w:cs="Arial"/>
          <w:b w:val="0"/>
          <w:bCs w:val="0"/>
          <w:color w:val="141414"/>
          <w:sz w:val="21"/>
          <w:szCs w:val="21"/>
        </w:rPr>
        <w:t>.</w:t>
      </w:r>
      <w:r w:rsidRPr="00B11A21">
        <w:rPr>
          <w:rStyle w:val="Strong"/>
          <w:rFonts w:ascii="Arial" w:hAnsi="Arial" w:cs="Arial"/>
          <w:b w:val="0"/>
          <w:bCs w:val="0"/>
          <w:color w:val="141414"/>
          <w:sz w:val="21"/>
          <w:szCs w:val="21"/>
        </w:rPr>
        <w:t xml:space="preserve">  </w:t>
      </w:r>
    </w:p>
    <w:p w14:paraId="33F85FA9" w14:textId="27B7D307" w:rsidR="003978E8" w:rsidRPr="00B11A21" w:rsidRDefault="003978E8" w:rsidP="00FC79B1">
      <w:pPr>
        <w:numPr>
          <w:ilvl w:val="0"/>
          <w:numId w:val="2"/>
        </w:numPr>
        <w:shd w:val="clear" w:color="auto" w:fill="FFFFFF"/>
        <w:spacing w:before="120" w:after="240" w:line="240" w:lineRule="auto"/>
        <w:textAlignment w:val="baseline"/>
        <w:rPr>
          <w:rFonts w:eastAsia="Times New Roman" w:cs="Arial"/>
          <w:color w:val="000000"/>
          <w:sz w:val="21"/>
          <w:szCs w:val="21"/>
        </w:rPr>
      </w:pPr>
      <w:r w:rsidRPr="00B11A21">
        <w:rPr>
          <w:rFonts w:eastAsia="Times New Roman" w:cs="Arial"/>
          <w:color w:val="000000"/>
          <w:sz w:val="21"/>
          <w:szCs w:val="21"/>
        </w:rPr>
        <w:t xml:space="preserve">Challenge common practices that limit the protections offered by proven safety </w:t>
      </w:r>
      <w:proofErr w:type="gramStart"/>
      <w:r w:rsidRPr="00B11A21">
        <w:rPr>
          <w:rFonts w:eastAsia="Times New Roman" w:cs="Arial"/>
          <w:color w:val="000000"/>
          <w:sz w:val="21"/>
          <w:szCs w:val="21"/>
        </w:rPr>
        <w:t xml:space="preserve">technologies,   </w:t>
      </w:r>
      <w:proofErr w:type="gramEnd"/>
      <w:r w:rsidRPr="00B11A21">
        <w:rPr>
          <w:rFonts w:eastAsia="Times New Roman" w:cs="Arial"/>
          <w:color w:val="000000"/>
          <w:sz w:val="21"/>
          <w:szCs w:val="21"/>
        </w:rPr>
        <w:t xml:space="preserve">                  including smart infusion pumps</w:t>
      </w:r>
      <w:r w:rsidR="0011499F">
        <w:rPr>
          <w:rFonts w:eastAsia="Times New Roman" w:cs="Arial"/>
          <w:color w:val="000000"/>
          <w:sz w:val="21"/>
          <w:szCs w:val="21"/>
        </w:rPr>
        <w:t>.</w:t>
      </w:r>
    </w:p>
    <w:p w14:paraId="5A7AA571" w14:textId="52278B5C" w:rsidR="003978E8" w:rsidRPr="00B11A21" w:rsidRDefault="003978E8" w:rsidP="00FC79B1">
      <w:pPr>
        <w:numPr>
          <w:ilvl w:val="0"/>
          <w:numId w:val="2"/>
        </w:numPr>
        <w:shd w:val="clear" w:color="auto" w:fill="FFFFFF"/>
        <w:spacing w:before="120" w:after="240" w:line="240" w:lineRule="auto"/>
        <w:textAlignment w:val="baseline"/>
        <w:rPr>
          <w:rFonts w:eastAsia="Times New Roman" w:cs="Arial"/>
          <w:color w:val="000000"/>
          <w:sz w:val="21"/>
          <w:szCs w:val="21"/>
        </w:rPr>
      </w:pPr>
      <w:r w:rsidRPr="00B11A21">
        <w:rPr>
          <w:rFonts w:eastAsia="Times New Roman" w:cs="Arial"/>
          <w:color w:val="000000"/>
          <w:sz w:val="21"/>
          <w:szCs w:val="21"/>
        </w:rPr>
        <w:t>Support the use of barcode scanning for real-time drug identification and electronic record                  documentation throughout perioperative and procedural care</w:t>
      </w:r>
      <w:r w:rsidR="0011499F">
        <w:rPr>
          <w:rFonts w:eastAsia="Times New Roman" w:cs="Arial"/>
          <w:color w:val="000000"/>
          <w:sz w:val="21"/>
          <w:szCs w:val="21"/>
        </w:rPr>
        <w:t>.</w:t>
      </w:r>
    </w:p>
    <w:p w14:paraId="2E29D218" w14:textId="77777777" w:rsidR="003978E8" w:rsidRDefault="003978E8" w:rsidP="003978E8">
      <w:pPr>
        <w:rPr>
          <w:rFonts w:cs="Arial"/>
          <w:sz w:val="21"/>
          <w:szCs w:val="21"/>
        </w:rPr>
      </w:pPr>
    </w:p>
    <w:p w14:paraId="6E434C65" w14:textId="77777777" w:rsidR="0055644A" w:rsidRDefault="0055644A" w:rsidP="003978E8">
      <w:pPr>
        <w:rPr>
          <w:sz w:val="18"/>
          <w:szCs w:val="18"/>
        </w:rPr>
      </w:pPr>
    </w:p>
    <w:p w14:paraId="175D8941" w14:textId="77777777" w:rsidR="0055644A" w:rsidRDefault="0055644A" w:rsidP="003978E8">
      <w:pPr>
        <w:rPr>
          <w:sz w:val="18"/>
          <w:szCs w:val="18"/>
        </w:rPr>
      </w:pPr>
    </w:p>
    <w:p w14:paraId="665BED76" w14:textId="4CC8CB81" w:rsidR="0055644A" w:rsidRPr="00B11A21" w:rsidRDefault="0055644A" w:rsidP="003978E8">
      <w:pPr>
        <w:rPr>
          <w:sz w:val="21"/>
          <w:szCs w:val="21"/>
        </w:rPr>
      </w:pPr>
      <w:r w:rsidRPr="00B11A21">
        <w:rPr>
          <w:sz w:val="21"/>
          <w:szCs w:val="21"/>
        </w:rPr>
        <w:t xml:space="preserve">The new guidelines as well as the </w:t>
      </w:r>
      <w:r w:rsidR="003978E8" w:rsidRPr="00B11A21">
        <w:rPr>
          <w:sz w:val="21"/>
          <w:szCs w:val="21"/>
        </w:rPr>
        <w:t xml:space="preserve">ISMP Medication Safety </w:t>
      </w:r>
      <w:proofErr w:type="spellStart"/>
      <w:r w:rsidR="003978E8" w:rsidRPr="00B11A21">
        <w:rPr>
          <w:sz w:val="21"/>
          <w:szCs w:val="21"/>
        </w:rPr>
        <w:t>Self Assessment</w:t>
      </w:r>
      <w:proofErr w:type="spellEnd"/>
      <w:r w:rsidR="003978E8" w:rsidRPr="00B11A21">
        <w:rPr>
          <w:sz w:val="21"/>
          <w:szCs w:val="21"/>
          <w:vertAlign w:val="superscript"/>
        </w:rPr>
        <w:t>®</w:t>
      </w:r>
      <w:r w:rsidR="003978E8" w:rsidRPr="00B11A21">
        <w:rPr>
          <w:sz w:val="21"/>
          <w:szCs w:val="21"/>
        </w:rPr>
        <w:t xml:space="preserve"> for Perioperative Settings</w:t>
      </w:r>
      <w:r w:rsidRPr="00B11A21">
        <w:rPr>
          <w:sz w:val="21"/>
          <w:szCs w:val="21"/>
        </w:rPr>
        <w:t xml:space="preserve"> were</w:t>
      </w:r>
      <w:r w:rsidR="003978E8" w:rsidRPr="00B11A21">
        <w:rPr>
          <w:sz w:val="21"/>
          <w:szCs w:val="21"/>
        </w:rPr>
        <w:t xml:space="preserve"> </w:t>
      </w:r>
      <w:r w:rsidRPr="00B11A21">
        <w:rPr>
          <w:sz w:val="21"/>
          <w:szCs w:val="21"/>
        </w:rPr>
        <w:t xml:space="preserve">developed under a contract from the U.S. Food and Drug Administration (FDA). The </w:t>
      </w:r>
      <w:proofErr w:type="spellStart"/>
      <w:r w:rsidRPr="00B11A21">
        <w:rPr>
          <w:sz w:val="21"/>
          <w:szCs w:val="21"/>
        </w:rPr>
        <w:t>self assessment</w:t>
      </w:r>
      <w:proofErr w:type="spellEnd"/>
      <w:r w:rsidRPr="00B11A21">
        <w:rPr>
          <w:sz w:val="21"/>
          <w:szCs w:val="21"/>
        </w:rPr>
        <w:t xml:space="preserve"> </w:t>
      </w:r>
      <w:r w:rsidR="003978E8" w:rsidRPr="00B11A21">
        <w:rPr>
          <w:sz w:val="21"/>
          <w:szCs w:val="21"/>
        </w:rPr>
        <w:t xml:space="preserve">was an essential first step toward understanding </w:t>
      </w:r>
      <w:r w:rsidRPr="00B11A21">
        <w:rPr>
          <w:sz w:val="21"/>
          <w:szCs w:val="21"/>
        </w:rPr>
        <w:t>the current state of</w:t>
      </w:r>
      <w:r w:rsidR="003978E8" w:rsidRPr="00B11A21">
        <w:rPr>
          <w:sz w:val="21"/>
          <w:szCs w:val="21"/>
        </w:rPr>
        <w:t xml:space="preserve"> </w:t>
      </w:r>
      <w:proofErr w:type="gramStart"/>
      <w:r w:rsidR="003978E8" w:rsidRPr="00B11A21">
        <w:rPr>
          <w:sz w:val="21"/>
          <w:szCs w:val="21"/>
        </w:rPr>
        <w:t>practice</w:t>
      </w:r>
      <w:r w:rsidR="00484E5F">
        <w:rPr>
          <w:sz w:val="21"/>
          <w:szCs w:val="21"/>
        </w:rPr>
        <w:t>,</w:t>
      </w:r>
      <w:r w:rsidR="003978E8" w:rsidRPr="00B11A21">
        <w:rPr>
          <w:sz w:val="21"/>
          <w:szCs w:val="21"/>
        </w:rPr>
        <w:t xml:space="preserve"> and</w:t>
      </w:r>
      <w:proofErr w:type="gramEnd"/>
      <w:r w:rsidR="003978E8" w:rsidRPr="00B11A21">
        <w:rPr>
          <w:sz w:val="21"/>
          <w:szCs w:val="21"/>
        </w:rPr>
        <w:t xml:space="preserve"> </w:t>
      </w:r>
      <w:r w:rsidR="00EE245C" w:rsidRPr="00B11A21">
        <w:rPr>
          <w:sz w:val="21"/>
          <w:szCs w:val="21"/>
        </w:rPr>
        <w:t>helped</w:t>
      </w:r>
      <w:r w:rsidR="00C52AD0" w:rsidRPr="00B11A21">
        <w:rPr>
          <w:sz w:val="21"/>
          <w:szCs w:val="21"/>
        </w:rPr>
        <w:t xml:space="preserve"> healthcare organizations evaluate their medication safety practices</w:t>
      </w:r>
      <w:r w:rsidR="00484E5F">
        <w:rPr>
          <w:sz w:val="21"/>
          <w:szCs w:val="21"/>
        </w:rPr>
        <w:t xml:space="preserve"> and</w:t>
      </w:r>
      <w:r w:rsidR="00C52AD0" w:rsidRPr="00B11A21">
        <w:rPr>
          <w:sz w:val="21"/>
          <w:szCs w:val="21"/>
        </w:rPr>
        <w:t xml:space="preserve"> identify specific opportunities for improvement</w:t>
      </w:r>
      <w:r w:rsidR="00EE245C" w:rsidRPr="00B11A21">
        <w:rPr>
          <w:sz w:val="21"/>
          <w:szCs w:val="21"/>
        </w:rPr>
        <w:t>.</w:t>
      </w:r>
      <w:r w:rsidR="00C52AD0" w:rsidRPr="00B11A21">
        <w:rPr>
          <w:sz w:val="21"/>
          <w:szCs w:val="21"/>
        </w:rPr>
        <w:t xml:space="preserve"> </w:t>
      </w:r>
    </w:p>
    <w:p w14:paraId="11D0F22A" w14:textId="77777777" w:rsidR="0055644A" w:rsidRPr="00B11A21" w:rsidRDefault="0055644A" w:rsidP="003978E8">
      <w:pPr>
        <w:rPr>
          <w:sz w:val="21"/>
          <w:szCs w:val="21"/>
        </w:rPr>
      </w:pPr>
    </w:p>
    <w:p w14:paraId="6C9AEF89" w14:textId="6FB1C49F" w:rsidR="00EE245C" w:rsidRPr="00B11A21" w:rsidRDefault="003978E8" w:rsidP="003978E8">
      <w:pPr>
        <w:rPr>
          <w:sz w:val="21"/>
          <w:szCs w:val="21"/>
        </w:rPr>
      </w:pPr>
      <w:r w:rsidRPr="00B11A21">
        <w:rPr>
          <w:sz w:val="21"/>
          <w:szCs w:val="21"/>
        </w:rPr>
        <w:t xml:space="preserve">With early assessment results as a backdrop, ISMP held a two-day national invitational </w:t>
      </w:r>
      <w:r w:rsidR="00C52AD0" w:rsidRPr="00B11A21">
        <w:rPr>
          <w:sz w:val="21"/>
          <w:szCs w:val="21"/>
        </w:rPr>
        <w:t xml:space="preserve">perioperative medication safety summit </w:t>
      </w:r>
      <w:r w:rsidRPr="00B11A21">
        <w:rPr>
          <w:sz w:val="21"/>
          <w:szCs w:val="21"/>
        </w:rPr>
        <w:t xml:space="preserve">in November 2021 with clinical experts, representatives from professional organizations, and industry leaders. </w:t>
      </w:r>
      <w:r w:rsidR="00EE245C" w:rsidRPr="00B11A21">
        <w:rPr>
          <w:sz w:val="21"/>
          <w:szCs w:val="21"/>
        </w:rPr>
        <w:t>Participants helped develop best practice statements that served as a foundation for the final set of guidelines.</w:t>
      </w:r>
    </w:p>
    <w:p w14:paraId="2AC86F93" w14:textId="77777777" w:rsidR="003978E8" w:rsidRPr="00B11A21" w:rsidRDefault="003978E8" w:rsidP="003978E8">
      <w:pPr>
        <w:rPr>
          <w:sz w:val="21"/>
          <w:szCs w:val="21"/>
        </w:rPr>
      </w:pPr>
    </w:p>
    <w:p w14:paraId="666D2E8B" w14:textId="08099689" w:rsidR="003978E8" w:rsidRPr="004171F0" w:rsidRDefault="003978E8" w:rsidP="003978E8">
      <w:pPr>
        <w:rPr>
          <w:rStyle w:val="Hyperlink"/>
          <w:rFonts w:cs="Arial"/>
          <w:sz w:val="21"/>
          <w:szCs w:val="21"/>
        </w:rPr>
      </w:pPr>
      <w:r w:rsidRPr="00B11A21">
        <w:rPr>
          <w:rFonts w:cs="Arial"/>
          <w:sz w:val="21"/>
          <w:szCs w:val="21"/>
        </w:rPr>
        <w:t xml:space="preserve">For a copy of the </w:t>
      </w:r>
      <w:r w:rsidRPr="00B11A21">
        <w:rPr>
          <w:sz w:val="21"/>
          <w:szCs w:val="21"/>
        </w:rPr>
        <w:t>new</w:t>
      </w:r>
      <w:r w:rsidR="00C52AD0" w:rsidRPr="00B11A21">
        <w:rPr>
          <w:sz w:val="21"/>
          <w:szCs w:val="21"/>
        </w:rPr>
        <w:t xml:space="preserve"> </w:t>
      </w:r>
      <w:r w:rsidR="00C52AD0" w:rsidRPr="00B11A21">
        <w:rPr>
          <w:rStyle w:val="Strong"/>
          <w:rFonts w:cs="Arial"/>
          <w:b w:val="0"/>
          <w:bCs w:val="0"/>
          <w:i/>
          <w:iCs/>
          <w:color w:val="141414"/>
          <w:sz w:val="21"/>
          <w:szCs w:val="21"/>
        </w:rPr>
        <w:t>ISMP Guidelines for Safe Medication Use in Perioperative and Procedural Settings</w:t>
      </w:r>
      <w:r w:rsidRPr="00B11A21">
        <w:rPr>
          <w:sz w:val="21"/>
          <w:szCs w:val="21"/>
        </w:rPr>
        <w:t>, visit</w:t>
      </w:r>
      <w:r w:rsidRPr="00B11A21">
        <w:rPr>
          <w:rFonts w:cs="Arial"/>
          <w:sz w:val="21"/>
          <w:szCs w:val="21"/>
        </w:rPr>
        <w:t>:</w:t>
      </w:r>
      <w:r w:rsidR="00FB5307" w:rsidRPr="00B11A21">
        <w:rPr>
          <w:rFonts w:cs="Arial"/>
          <w:sz w:val="21"/>
          <w:szCs w:val="21"/>
        </w:rPr>
        <w:t xml:space="preserve"> </w:t>
      </w:r>
      <w:r w:rsidR="004171F0">
        <w:rPr>
          <w:rFonts w:cs="Arial"/>
          <w:sz w:val="21"/>
          <w:szCs w:val="21"/>
        </w:rPr>
        <w:fldChar w:fldCharType="begin"/>
      </w:r>
      <w:r w:rsidR="004171F0">
        <w:rPr>
          <w:rFonts w:cs="Arial"/>
          <w:sz w:val="21"/>
          <w:szCs w:val="21"/>
        </w:rPr>
        <w:instrText xml:space="preserve"> HYPERLINK "http://www.ismp.org/node/31601" </w:instrText>
      </w:r>
      <w:r w:rsidR="004171F0">
        <w:rPr>
          <w:rFonts w:cs="Arial"/>
          <w:sz w:val="21"/>
          <w:szCs w:val="21"/>
        </w:rPr>
      </w:r>
      <w:r w:rsidR="004171F0">
        <w:rPr>
          <w:rFonts w:cs="Arial"/>
          <w:sz w:val="21"/>
          <w:szCs w:val="21"/>
        </w:rPr>
        <w:fldChar w:fldCharType="separate"/>
      </w:r>
      <w:r w:rsidR="00FB5307" w:rsidRPr="004171F0">
        <w:rPr>
          <w:rStyle w:val="Hyperlink"/>
          <w:rFonts w:cs="Arial"/>
          <w:sz w:val="21"/>
          <w:szCs w:val="21"/>
        </w:rPr>
        <w:t>ismp.org/node/31601</w:t>
      </w:r>
    </w:p>
    <w:p w14:paraId="10CFF0DC" w14:textId="77777777" w:rsidR="00FB5307" w:rsidRPr="004171F0" w:rsidRDefault="00FB5307" w:rsidP="003978E8">
      <w:pPr>
        <w:rPr>
          <w:rStyle w:val="Hyperlink"/>
          <w:rFonts w:cs="Arial"/>
          <w:sz w:val="21"/>
          <w:szCs w:val="21"/>
        </w:rPr>
      </w:pPr>
    </w:p>
    <w:p w14:paraId="081E7A06" w14:textId="1D9CD3E1" w:rsidR="00FB5307" w:rsidRPr="00B11A21" w:rsidRDefault="004171F0" w:rsidP="003978E8">
      <w:pPr>
        <w:rPr>
          <w:rFonts w:cs="Arial"/>
          <w:color w:val="0070C0"/>
          <w:sz w:val="21"/>
          <w:szCs w:val="21"/>
        </w:rPr>
      </w:pPr>
      <w:r>
        <w:rPr>
          <w:rFonts w:cs="Arial"/>
          <w:sz w:val="21"/>
          <w:szCs w:val="21"/>
        </w:rPr>
        <w:fldChar w:fldCharType="end"/>
      </w:r>
      <w:r w:rsidR="00FB5307" w:rsidRPr="00B11A21">
        <w:rPr>
          <w:rFonts w:cs="Arial"/>
          <w:sz w:val="21"/>
          <w:szCs w:val="21"/>
        </w:rPr>
        <w:t xml:space="preserve">For a copy of </w:t>
      </w:r>
      <w:r w:rsidR="00975261" w:rsidRPr="00B11A21">
        <w:rPr>
          <w:sz w:val="21"/>
          <w:szCs w:val="21"/>
        </w:rPr>
        <w:t xml:space="preserve">ISMP’s Medication Safety </w:t>
      </w:r>
      <w:proofErr w:type="spellStart"/>
      <w:r w:rsidR="00975261" w:rsidRPr="00B11A21">
        <w:rPr>
          <w:sz w:val="21"/>
          <w:szCs w:val="21"/>
        </w:rPr>
        <w:t>Self Assessment</w:t>
      </w:r>
      <w:proofErr w:type="spellEnd"/>
      <w:r w:rsidR="00975261" w:rsidRPr="00B11A21">
        <w:rPr>
          <w:sz w:val="21"/>
          <w:szCs w:val="21"/>
          <w:vertAlign w:val="superscript"/>
        </w:rPr>
        <w:t>®</w:t>
      </w:r>
      <w:r w:rsidR="00975261" w:rsidRPr="00B11A21">
        <w:rPr>
          <w:sz w:val="21"/>
          <w:szCs w:val="21"/>
        </w:rPr>
        <w:t xml:space="preserve"> for Perioperative Settings, visit: </w:t>
      </w:r>
      <w:hyperlink r:id="rId10" w:history="1">
        <w:r w:rsidR="00975261" w:rsidRPr="00B11A21">
          <w:rPr>
            <w:rStyle w:val="Hyperlink"/>
            <w:sz w:val="21"/>
            <w:szCs w:val="21"/>
          </w:rPr>
          <w:t>ismp.org/node/18027</w:t>
        </w:r>
      </w:hyperlink>
    </w:p>
    <w:p w14:paraId="059F8A07" w14:textId="77777777" w:rsidR="003978E8" w:rsidRPr="00B11A21" w:rsidRDefault="003978E8" w:rsidP="003978E8">
      <w:pPr>
        <w:pStyle w:val="NormalWeb"/>
        <w:spacing w:before="0" w:beforeAutospacing="0" w:after="0" w:afterAutospacing="0"/>
        <w:rPr>
          <w:b/>
          <w:bCs/>
          <w:color w:val="000000"/>
          <w:spacing w:val="2"/>
          <w:sz w:val="21"/>
          <w:szCs w:val="21"/>
          <w:shd w:val="clear" w:color="auto" w:fill="FFFFFF"/>
        </w:rPr>
      </w:pPr>
    </w:p>
    <w:p w14:paraId="1C334F77" w14:textId="77777777" w:rsidR="00C52AD0" w:rsidRDefault="00C52AD0" w:rsidP="003978E8">
      <w:pPr>
        <w:pStyle w:val="NormalWeb"/>
        <w:spacing w:before="0" w:beforeAutospacing="0" w:after="0" w:afterAutospacing="0"/>
        <w:rPr>
          <w:b/>
          <w:bCs/>
          <w:color w:val="000000"/>
          <w:spacing w:val="2"/>
          <w:sz w:val="18"/>
          <w:szCs w:val="18"/>
          <w:shd w:val="clear" w:color="auto" w:fill="FFFFFF"/>
        </w:rPr>
      </w:pPr>
    </w:p>
    <w:p w14:paraId="735088D4" w14:textId="77777777" w:rsidR="00C52AD0" w:rsidRDefault="00C52AD0" w:rsidP="003978E8">
      <w:pPr>
        <w:pStyle w:val="NormalWeb"/>
        <w:spacing w:before="0" w:beforeAutospacing="0" w:after="0" w:afterAutospacing="0"/>
        <w:rPr>
          <w:b/>
          <w:bCs/>
          <w:color w:val="000000"/>
          <w:spacing w:val="2"/>
          <w:sz w:val="18"/>
          <w:szCs w:val="18"/>
          <w:shd w:val="clear" w:color="auto" w:fill="FFFFFF"/>
        </w:rPr>
      </w:pPr>
    </w:p>
    <w:p w14:paraId="161150E7" w14:textId="77777777" w:rsidR="00C52AD0" w:rsidRDefault="00C52AD0" w:rsidP="003978E8">
      <w:pPr>
        <w:pStyle w:val="NormalWeb"/>
        <w:spacing w:before="0" w:beforeAutospacing="0" w:after="0" w:afterAutospacing="0"/>
        <w:rPr>
          <w:b/>
          <w:bCs/>
          <w:color w:val="000000"/>
          <w:spacing w:val="2"/>
          <w:sz w:val="18"/>
          <w:szCs w:val="18"/>
          <w:shd w:val="clear" w:color="auto" w:fill="FFFFFF"/>
        </w:rPr>
      </w:pPr>
    </w:p>
    <w:p w14:paraId="2391E167" w14:textId="739E2C2B" w:rsidR="003978E8" w:rsidRPr="004A1D64" w:rsidRDefault="003978E8" w:rsidP="003978E8">
      <w:pPr>
        <w:pStyle w:val="NormalWeb"/>
        <w:spacing w:before="0" w:beforeAutospacing="0" w:after="0" w:afterAutospacing="0"/>
        <w:rPr>
          <w:b/>
          <w:bCs/>
          <w:color w:val="000000"/>
          <w:spacing w:val="2"/>
          <w:sz w:val="18"/>
          <w:szCs w:val="18"/>
          <w:shd w:val="clear" w:color="auto" w:fill="FFFFFF"/>
        </w:rPr>
      </w:pPr>
      <w:r w:rsidRPr="004A1D64">
        <w:rPr>
          <w:b/>
          <w:bCs/>
          <w:color w:val="000000"/>
          <w:spacing w:val="2"/>
          <w:sz w:val="18"/>
          <w:szCs w:val="18"/>
          <w:shd w:val="clear" w:color="auto" w:fill="FFFFFF"/>
        </w:rPr>
        <w:t>About the Institute for Safe Medication Practices</w:t>
      </w:r>
    </w:p>
    <w:p w14:paraId="2E80F746" w14:textId="77777777" w:rsidR="003978E8" w:rsidRPr="004A1D64" w:rsidRDefault="003978E8" w:rsidP="003978E8">
      <w:pPr>
        <w:pStyle w:val="NormalWeb"/>
        <w:shd w:val="clear" w:color="auto" w:fill="FFFFFF"/>
        <w:spacing w:before="0" w:beforeAutospacing="0" w:after="0" w:afterAutospacing="0"/>
        <w:rPr>
          <w:color w:val="141414"/>
          <w:sz w:val="18"/>
          <w:szCs w:val="18"/>
        </w:rPr>
      </w:pPr>
      <w:r w:rsidRPr="004A1D64">
        <w:rPr>
          <w:color w:val="000000"/>
          <w:spacing w:val="2"/>
          <w:sz w:val="18"/>
          <w:szCs w:val="18"/>
          <w:shd w:val="clear" w:color="auto" w:fill="FFFFFF"/>
        </w:rPr>
        <w:t xml:space="preserve">The Institute for Safe Medication Practices (ISMP) is the nation’s first 501c (3) nonprofit organization devoted entirely to preventing medication errors. </w:t>
      </w:r>
      <w:r w:rsidRPr="004A1D64">
        <w:rPr>
          <w:color w:val="141414"/>
          <w:sz w:val="18"/>
          <w:szCs w:val="18"/>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1" w:history="1">
        <w:r w:rsidRPr="004A1D64">
          <w:rPr>
            <w:rStyle w:val="Hyperlink"/>
            <w:sz w:val="18"/>
            <w:szCs w:val="18"/>
          </w:rPr>
          <w:t>www.ismp.org</w:t>
        </w:r>
      </w:hyperlink>
      <w:r w:rsidRPr="004A1D64">
        <w:rPr>
          <w:color w:val="141414"/>
          <w:sz w:val="18"/>
          <w:szCs w:val="18"/>
        </w:rPr>
        <w:t xml:space="preserve"> and follow @ismp_org to learn more. </w:t>
      </w:r>
    </w:p>
    <w:p w14:paraId="249AFD84" w14:textId="77777777" w:rsidR="003978E8" w:rsidRDefault="003978E8" w:rsidP="003978E8">
      <w:pPr>
        <w:pStyle w:val="NormalWeb"/>
        <w:shd w:val="clear" w:color="auto" w:fill="FFFFFF"/>
        <w:spacing w:before="0" w:beforeAutospacing="0" w:after="0" w:afterAutospacing="0"/>
        <w:rPr>
          <w:color w:val="141414"/>
          <w:sz w:val="16"/>
          <w:szCs w:val="16"/>
        </w:rPr>
      </w:pPr>
    </w:p>
    <w:p w14:paraId="68FC768F" w14:textId="77777777" w:rsidR="003978E8" w:rsidRDefault="003978E8" w:rsidP="003978E8">
      <w:pPr>
        <w:pStyle w:val="NormalWeb"/>
        <w:shd w:val="clear" w:color="auto" w:fill="FFFFFF"/>
        <w:spacing w:before="0" w:beforeAutospacing="0" w:after="0" w:afterAutospacing="0"/>
      </w:pPr>
    </w:p>
    <w:p w14:paraId="385D4256" w14:textId="77777777" w:rsidR="003978E8" w:rsidRDefault="003978E8" w:rsidP="003978E8">
      <w:pPr>
        <w:pStyle w:val="NormalWeb"/>
        <w:shd w:val="clear" w:color="auto" w:fill="FFFFFF"/>
        <w:spacing w:before="0" w:beforeAutospacing="0" w:after="0" w:afterAutospacing="0"/>
      </w:pPr>
    </w:p>
    <w:p w14:paraId="6CC6B6C7" w14:textId="77777777" w:rsidR="003978E8" w:rsidRDefault="003978E8" w:rsidP="003978E8">
      <w:pPr>
        <w:pStyle w:val="NormalWeb"/>
        <w:shd w:val="clear" w:color="auto" w:fill="FFFFFF"/>
        <w:spacing w:before="0" w:beforeAutospacing="0" w:after="0" w:afterAutospacing="0"/>
      </w:pPr>
    </w:p>
    <w:p w14:paraId="1E5EF2D2" w14:textId="77777777" w:rsidR="003978E8" w:rsidRDefault="003978E8" w:rsidP="003978E8">
      <w:pPr>
        <w:pStyle w:val="NormalWeb"/>
        <w:shd w:val="clear" w:color="auto" w:fill="FFFFFF"/>
        <w:spacing w:before="0" w:beforeAutospacing="0" w:after="0" w:afterAutospacing="0"/>
      </w:pPr>
    </w:p>
    <w:p w14:paraId="3B9625F3" w14:textId="77777777" w:rsidR="003978E8" w:rsidRDefault="003978E8" w:rsidP="003978E8">
      <w:pPr>
        <w:pStyle w:val="NormalWeb"/>
        <w:shd w:val="clear" w:color="auto" w:fill="FFFFFF"/>
        <w:spacing w:before="0" w:beforeAutospacing="0" w:after="0" w:afterAutospacing="0"/>
      </w:pPr>
    </w:p>
    <w:p w14:paraId="0A3AB5F2" w14:textId="77777777" w:rsidR="003978E8" w:rsidRDefault="003978E8" w:rsidP="003978E8">
      <w:pPr>
        <w:pStyle w:val="NormalWeb"/>
        <w:shd w:val="clear" w:color="auto" w:fill="FFFFFF"/>
        <w:spacing w:before="0" w:beforeAutospacing="0" w:after="0" w:afterAutospacing="0"/>
      </w:pPr>
    </w:p>
    <w:p w14:paraId="0962B027" w14:textId="77777777" w:rsidR="003978E8" w:rsidRDefault="003978E8" w:rsidP="003978E8">
      <w:pPr>
        <w:pStyle w:val="NormalWeb"/>
        <w:shd w:val="clear" w:color="auto" w:fill="FFFFFF"/>
        <w:spacing w:before="0" w:beforeAutospacing="0" w:after="0" w:afterAutospacing="0"/>
      </w:pPr>
    </w:p>
    <w:sectPr w:rsidR="003978E8" w:rsidSect="004764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7D2B" w14:textId="77777777" w:rsidR="003F0BB3" w:rsidRDefault="003F0BB3" w:rsidP="00927FB4">
      <w:pPr>
        <w:spacing w:line="240" w:lineRule="auto"/>
      </w:pPr>
      <w:r>
        <w:separator/>
      </w:r>
    </w:p>
  </w:endnote>
  <w:endnote w:type="continuationSeparator" w:id="0">
    <w:p w14:paraId="6F3D3654" w14:textId="77777777" w:rsidR="003F0BB3" w:rsidRDefault="003F0BB3"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705F" w14:textId="77777777" w:rsidR="003F0BB3" w:rsidRDefault="003F0BB3" w:rsidP="00927FB4">
      <w:pPr>
        <w:spacing w:line="240" w:lineRule="auto"/>
      </w:pPr>
      <w:r>
        <w:separator/>
      </w:r>
    </w:p>
  </w:footnote>
  <w:footnote w:type="continuationSeparator" w:id="0">
    <w:p w14:paraId="6E4EAE49" w14:textId="77777777" w:rsidR="003F0BB3" w:rsidRDefault="003F0BB3"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8752"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61312"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E80387B" id="Straight Connector 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512C"/>
    <w:rsid w:val="000951C2"/>
    <w:rsid w:val="000D4249"/>
    <w:rsid w:val="000D5D77"/>
    <w:rsid w:val="00107C87"/>
    <w:rsid w:val="0011499F"/>
    <w:rsid w:val="001E074F"/>
    <w:rsid w:val="00203C6C"/>
    <w:rsid w:val="0020657B"/>
    <w:rsid w:val="002A0275"/>
    <w:rsid w:val="003848EF"/>
    <w:rsid w:val="003978E8"/>
    <w:rsid w:val="003C2599"/>
    <w:rsid w:val="003E5B02"/>
    <w:rsid w:val="003F0BB3"/>
    <w:rsid w:val="003F21F5"/>
    <w:rsid w:val="003F42C6"/>
    <w:rsid w:val="004171F0"/>
    <w:rsid w:val="004526CD"/>
    <w:rsid w:val="0047646D"/>
    <w:rsid w:val="00484E5F"/>
    <w:rsid w:val="004A03C8"/>
    <w:rsid w:val="004D3D49"/>
    <w:rsid w:val="004D562C"/>
    <w:rsid w:val="004F077D"/>
    <w:rsid w:val="004F13A3"/>
    <w:rsid w:val="0052572B"/>
    <w:rsid w:val="005418E5"/>
    <w:rsid w:val="005514B9"/>
    <w:rsid w:val="00552443"/>
    <w:rsid w:val="0055644A"/>
    <w:rsid w:val="005631BC"/>
    <w:rsid w:val="005870AB"/>
    <w:rsid w:val="005B4E7C"/>
    <w:rsid w:val="005C6BD1"/>
    <w:rsid w:val="00606B12"/>
    <w:rsid w:val="00655215"/>
    <w:rsid w:val="006C2AF9"/>
    <w:rsid w:val="0070630B"/>
    <w:rsid w:val="007150D6"/>
    <w:rsid w:val="0072017C"/>
    <w:rsid w:val="007C500C"/>
    <w:rsid w:val="007D3140"/>
    <w:rsid w:val="008D05AA"/>
    <w:rsid w:val="008E1DF1"/>
    <w:rsid w:val="00927FB4"/>
    <w:rsid w:val="0094334A"/>
    <w:rsid w:val="0094400B"/>
    <w:rsid w:val="00975261"/>
    <w:rsid w:val="00993741"/>
    <w:rsid w:val="009B4B91"/>
    <w:rsid w:val="009C237F"/>
    <w:rsid w:val="009F45E6"/>
    <w:rsid w:val="00A73222"/>
    <w:rsid w:val="00A948D1"/>
    <w:rsid w:val="00AA0905"/>
    <w:rsid w:val="00AB60FC"/>
    <w:rsid w:val="00AC07B2"/>
    <w:rsid w:val="00AD6957"/>
    <w:rsid w:val="00AF0E99"/>
    <w:rsid w:val="00B01C38"/>
    <w:rsid w:val="00B11A21"/>
    <w:rsid w:val="00B3734E"/>
    <w:rsid w:val="00B66B9F"/>
    <w:rsid w:val="00B72C83"/>
    <w:rsid w:val="00B74754"/>
    <w:rsid w:val="00C03A8F"/>
    <w:rsid w:val="00C07D03"/>
    <w:rsid w:val="00C52AD0"/>
    <w:rsid w:val="00C62A62"/>
    <w:rsid w:val="00C8274E"/>
    <w:rsid w:val="00D309AC"/>
    <w:rsid w:val="00D32507"/>
    <w:rsid w:val="00D50E55"/>
    <w:rsid w:val="00DC5E14"/>
    <w:rsid w:val="00E519BB"/>
    <w:rsid w:val="00EE245C"/>
    <w:rsid w:val="00F22EF7"/>
    <w:rsid w:val="00F4090A"/>
    <w:rsid w:val="00F70B19"/>
    <w:rsid w:val="00FB5307"/>
    <w:rsid w:val="00FC79B1"/>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m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smp.org/node/180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52CA52756D249A4A9B72573A6F8F1" ma:contentTypeVersion="51" ma:contentTypeDescription="Create a new document." ma:contentTypeScope="" ma:versionID="8a554325365f0efc007190d75537d2fd">
  <xsd:schema xmlns:xsd="http://www.w3.org/2001/XMLSchema" xmlns:xs="http://www.w3.org/2001/XMLSchema" xmlns:p="http://schemas.microsoft.com/office/2006/metadata/properties" xmlns:ns1="http://schemas.microsoft.com/sharepoint/v3" xmlns:ns2="a538ec4f-45ce-49e0-b481-7da096daaa25" xmlns:ns3="49215a41-b9ff-419c-bd37-973780274db5" targetNamespace="http://schemas.microsoft.com/office/2006/metadata/properties" ma:root="true" ma:fieldsID="051d3c8c451c53d3d93fbd829dc4fd5b" ns1:_="" ns2:_="" ns3:_="">
    <xsd:import namespace="http://schemas.microsoft.com/sharepoint/v3"/>
    <xsd:import namespace="a538ec4f-45ce-49e0-b481-7da096daaa25"/>
    <xsd:import namespace="49215a41-b9ff-419c-bd37-973780274d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8ec4f-45ce-49e0-b481-7da096daaa25"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be8c4-b12e-4330-bee9-166d8f7a66ce}" ma:internalName="TaxCatchAll" ma:showField="CatchAllData" ma:web="a538ec4f-45ce-49e0-b481-7da096daa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215a41-b9ff-419c-bd37-973780274db5"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38ec4f-45ce-49e0-b481-7da096daaa25">
      <UserInfo>
        <DisplayName>ISMP Team Visitors</DisplayName>
        <AccountId>4</AccountId>
        <AccountType/>
      </UserInfo>
    </SharedWithUsers>
    <lcf76f155ced4ddcb4097134ff3c332f xmlns="49215a41-b9ff-419c-bd37-973780274db5">
      <Terms xmlns="http://schemas.microsoft.com/office/infopath/2007/PartnerControls"/>
    </lcf76f155ced4ddcb4097134ff3c332f>
    <TaxCatchAll xmlns="a538ec4f-45ce-49e0-b481-7da096daaa2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BC35CC-760D-4DAC-B4A7-E3C637A72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38ec4f-45ce-49e0-b481-7da096daaa25"/>
    <ds:schemaRef ds:uri="49215a41-b9ff-419c-bd37-973780274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69FDF-742D-49DC-A95C-67CE4646EAF6}">
  <ds:schemaRefs>
    <ds:schemaRef ds:uri="http://schemas.microsoft.com/sharepoint/v3/contenttype/forms"/>
  </ds:schemaRefs>
</ds:datastoreItem>
</file>

<file path=customXml/itemProps3.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 ds:uri="a538ec4f-45ce-49e0-b481-7da096daaa25"/>
    <ds:schemaRef ds:uri="49215a41-b9ff-419c-bd37-973780274d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4</cp:revision>
  <cp:lastPrinted>2022-08-11T04:34:00Z</cp:lastPrinted>
  <dcterms:created xsi:type="dcterms:W3CDTF">2022-08-11T12:33:00Z</dcterms:created>
  <dcterms:modified xsi:type="dcterms:W3CDTF">2022-08-12T13:10:00Z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0x010100B8852CA52756D249A4A9B72573A6F8F1</vt:lpwstr>
  </property>
  <property fmtid="{D5CDD505-2E9C-101B-9397-08002B2CF9AE}" pid="3" name="MediaServiceImageTags">
    <vt:lpwstr/>
  </property>
  <property fmtid="{D5CDD505-2E9C-101B-9397-08002B2CF9AE}" pid="4" name="_ExtendedDescription">
    <vt:lpwstr/>
  </property>
</Properties>
</file>