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418FDE"/>
          <w:insideV w:val="single" w:sz="4" w:space="0" w:color="418FDE"/>
        </w:tblBorders>
        <w:tblCellMar>
          <w:left w:w="144" w:type="dxa"/>
          <w:right w:w="115" w:type="dxa"/>
        </w:tblCellMar>
        <w:tblLook w:val="0600" w:firstRow="0" w:lastRow="0" w:firstColumn="0" w:lastColumn="0" w:noHBand="1" w:noVBand="1"/>
      </w:tblPr>
      <w:tblGrid>
        <w:gridCol w:w="4096"/>
        <w:gridCol w:w="5264"/>
      </w:tblGrid>
      <w:tr w:rsidR="0000512C" w:rsidRPr="006B6780" w14:paraId="6FBE84B9" w14:textId="77777777" w:rsidTr="005870AB">
        <w:trPr>
          <w:trHeight w:val="288"/>
        </w:trPr>
        <w:tc>
          <w:tcPr>
            <w:tcW w:w="4734" w:type="dxa"/>
            <w:shd w:val="clear" w:color="auto" w:fill="auto"/>
            <w:vAlign w:val="center"/>
          </w:tcPr>
          <w:p w14:paraId="2C44B67E" w14:textId="558B250A" w:rsidR="0000512C" w:rsidRPr="00A63A29" w:rsidRDefault="0000512C" w:rsidP="00FC7ACF">
            <w:pPr>
              <w:pStyle w:val="Heading1"/>
              <w:rPr>
                <w:rStyle w:val="Hyperlink"/>
              </w:rPr>
            </w:pPr>
            <w:r w:rsidRPr="00A63A29">
              <w:t>FOR IMMEDIATE RELEASE</w:t>
            </w:r>
          </w:p>
        </w:tc>
        <w:tc>
          <w:tcPr>
            <w:tcW w:w="6138" w:type="dxa"/>
            <w:shd w:val="clear" w:color="auto" w:fill="auto"/>
            <w:vAlign w:val="center"/>
          </w:tcPr>
          <w:p w14:paraId="6319CC46" w14:textId="77777777" w:rsidR="0000512C" w:rsidRPr="00A63A29" w:rsidRDefault="0000512C" w:rsidP="00FC7ACF">
            <w:pPr>
              <w:pStyle w:val="Heading1"/>
            </w:pPr>
            <w:r w:rsidRPr="00A63A29">
              <w:t>CONTACT</w:t>
            </w:r>
          </w:p>
        </w:tc>
      </w:tr>
      <w:tr w:rsidR="0000512C" w:rsidRPr="006B6780" w14:paraId="0D4A4324" w14:textId="77777777" w:rsidTr="005870AB">
        <w:trPr>
          <w:trHeight w:val="360"/>
        </w:trPr>
        <w:tc>
          <w:tcPr>
            <w:tcW w:w="4734" w:type="dxa"/>
            <w:shd w:val="clear" w:color="auto" w:fill="auto"/>
            <w:vAlign w:val="bottom"/>
          </w:tcPr>
          <w:p w14:paraId="7AF6B19A" w14:textId="60F071EA" w:rsidR="0000512C" w:rsidRPr="006B6780" w:rsidRDefault="009C237F" w:rsidP="00FC7ACF">
            <w:r w:rsidRPr="008D05AA">
              <w:t>July 1</w:t>
            </w:r>
            <w:r w:rsidR="0000512C">
              <w:t>, 2022</w:t>
            </w:r>
          </w:p>
        </w:tc>
        <w:tc>
          <w:tcPr>
            <w:tcW w:w="6138" w:type="dxa"/>
            <w:shd w:val="clear" w:color="auto" w:fill="auto"/>
            <w:vAlign w:val="bottom"/>
          </w:tcPr>
          <w:p w14:paraId="65085FA6" w14:textId="77777777" w:rsidR="0000512C" w:rsidRPr="006B6780" w:rsidRDefault="0000512C" w:rsidP="00FC7ACF">
            <w:r>
              <w:t xml:space="preserve">Renee Brehio, </w:t>
            </w:r>
            <w:r w:rsidRPr="00274C2E">
              <w:t>ISMP Public and Media Relations</w:t>
            </w:r>
          </w:p>
        </w:tc>
      </w:tr>
      <w:tr w:rsidR="0000512C" w:rsidRPr="006B6780" w14:paraId="41BD659F" w14:textId="77777777" w:rsidTr="005870AB">
        <w:trPr>
          <w:trHeight w:val="360"/>
        </w:trPr>
        <w:tc>
          <w:tcPr>
            <w:tcW w:w="4734" w:type="dxa"/>
            <w:shd w:val="clear" w:color="auto" w:fill="auto"/>
            <w:vAlign w:val="bottom"/>
          </w:tcPr>
          <w:p w14:paraId="74FE7BC4" w14:textId="77777777" w:rsidR="0000512C" w:rsidRPr="006B6780" w:rsidRDefault="0000512C" w:rsidP="00FC7ACF"/>
        </w:tc>
        <w:tc>
          <w:tcPr>
            <w:tcW w:w="6138" w:type="dxa"/>
            <w:shd w:val="clear" w:color="auto" w:fill="auto"/>
            <w:vAlign w:val="bottom"/>
          </w:tcPr>
          <w:p w14:paraId="61DEF72D" w14:textId="77777777" w:rsidR="0000512C" w:rsidRDefault="0000512C" w:rsidP="00FC7ACF">
            <w:r>
              <w:t>rbrehio@ismp.org • 614-376-0212</w:t>
            </w:r>
          </w:p>
        </w:tc>
      </w:tr>
    </w:tbl>
    <w:p w14:paraId="325F0EAA" w14:textId="6B053565" w:rsidR="0000512C" w:rsidRPr="0023623F" w:rsidRDefault="0000512C" w:rsidP="00F22EF7">
      <w:pPr>
        <w:pStyle w:val="Heading2"/>
        <w:spacing w:before="0"/>
        <w:rPr>
          <w:sz w:val="32"/>
          <w:szCs w:val="32"/>
        </w:rPr>
      </w:pPr>
      <w:r>
        <w:rPr>
          <w:sz w:val="32"/>
          <w:szCs w:val="32"/>
        </w:rPr>
        <w:t xml:space="preserve">           </w:t>
      </w:r>
    </w:p>
    <w:p w14:paraId="496833E5" w14:textId="7CC6574C" w:rsidR="005631BC" w:rsidRPr="0023623F" w:rsidRDefault="005631BC" w:rsidP="00C8274E">
      <w:pPr>
        <w:pStyle w:val="Heading2"/>
        <w:spacing w:before="240" w:line="240" w:lineRule="auto"/>
        <w:jc w:val="center"/>
        <w:rPr>
          <w:sz w:val="32"/>
          <w:szCs w:val="32"/>
        </w:rPr>
      </w:pPr>
      <w:r>
        <w:rPr>
          <w:sz w:val="32"/>
          <w:szCs w:val="32"/>
        </w:rPr>
        <w:t xml:space="preserve">ISMP Issues Recommendations to Prevent Paxlovid Errors                                                          </w:t>
      </w:r>
    </w:p>
    <w:p w14:paraId="478A97E6" w14:textId="029382F3" w:rsidR="005631BC" w:rsidRPr="00C03A8F" w:rsidRDefault="005631BC" w:rsidP="00C03A8F">
      <w:pPr>
        <w:pStyle w:val="Heading3"/>
        <w:spacing w:before="0" w:after="240"/>
        <w:jc w:val="center"/>
        <w:rPr>
          <w:i/>
          <w:iCs/>
        </w:rPr>
      </w:pPr>
      <w:r>
        <w:rPr>
          <w:i/>
          <w:iCs/>
        </w:rPr>
        <w:t xml:space="preserve">Numerous </w:t>
      </w:r>
      <w:r w:rsidR="00107C87">
        <w:rPr>
          <w:i/>
          <w:iCs/>
        </w:rPr>
        <w:t>Dosing Mistakes</w:t>
      </w:r>
      <w:r>
        <w:rPr>
          <w:i/>
          <w:iCs/>
        </w:rPr>
        <w:t xml:space="preserve"> Have Been Reported to ISMP, FDA</w:t>
      </w:r>
    </w:p>
    <w:p w14:paraId="168B8B4B" w14:textId="70A1F020" w:rsidR="005631BC" w:rsidRDefault="005631BC" w:rsidP="005631BC">
      <w:pPr>
        <w:rPr>
          <w:sz w:val="21"/>
          <w:szCs w:val="21"/>
        </w:rPr>
      </w:pPr>
      <w:r>
        <w:rPr>
          <w:b/>
          <w:bCs/>
          <w:sz w:val="21"/>
          <w:szCs w:val="21"/>
        </w:rPr>
        <w:t>Plymouth Meeting</w:t>
      </w:r>
      <w:r w:rsidRPr="001B7E90">
        <w:rPr>
          <w:b/>
          <w:bCs/>
          <w:sz w:val="21"/>
          <w:szCs w:val="21"/>
        </w:rPr>
        <w:t>, Pa.</w:t>
      </w:r>
      <w:r w:rsidRPr="001B7E90">
        <w:rPr>
          <w:sz w:val="21"/>
          <w:szCs w:val="21"/>
        </w:rPr>
        <w:t>–</w:t>
      </w:r>
      <w:r w:rsidRPr="00DE1B5F">
        <w:rPr>
          <w:sz w:val="21"/>
          <w:szCs w:val="21"/>
        </w:rPr>
        <w:t xml:space="preserve"> </w:t>
      </w:r>
      <w:r>
        <w:rPr>
          <w:sz w:val="21"/>
          <w:szCs w:val="21"/>
        </w:rPr>
        <w:t xml:space="preserve">In the </w:t>
      </w:r>
      <w:r w:rsidR="00107C87">
        <w:rPr>
          <w:sz w:val="21"/>
          <w:szCs w:val="21"/>
        </w:rPr>
        <w:t>last few months, the Institute for Safe Medication Practices (ISMP) and the U.S. Food and Drug Administration</w:t>
      </w:r>
      <w:r w:rsidR="00D50E55">
        <w:rPr>
          <w:sz w:val="21"/>
          <w:szCs w:val="21"/>
        </w:rPr>
        <w:t xml:space="preserve"> (FDA)</w:t>
      </w:r>
      <w:r w:rsidR="00107C87">
        <w:rPr>
          <w:sz w:val="21"/>
          <w:szCs w:val="21"/>
        </w:rPr>
        <w:t xml:space="preserve"> have received dozens of reports of wrong dose errors related to P</w:t>
      </w:r>
      <w:r w:rsidR="0094400B">
        <w:rPr>
          <w:sz w:val="21"/>
          <w:szCs w:val="21"/>
        </w:rPr>
        <w:t>AXLOVID (nirmatrelvir and ritonavir)</w:t>
      </w:r>
      <w:r w:rsidR="00107C87">
        <w:rPr>
          <w:sz w:val="21"/>
          <w:szCs w:val="21"/>
        </w:rPr>
        <w:t xml:space="preserve">, which is indicated for the treatment of mild-to-moderate COVID-19. </w:t>
      </w:r>
      <w:r w:rsidR="009C237F" w:rsidRPr="0020657B">
        <w:rPr>
          <w:sz w:val="21"/>
          <w:szCs w:val="21"/>
        </w:rPr>
        <w:t>ISMP is alerting healthcare professionals, especially pharmacists, who have an important role to play in error prevention</w:t>
      </w:r>
      <w:r w:rsidR="00107C87" w:rsidRPr="0020657B">
        <w:rPr>
          <w:sz w:val="21"/>
          <w:szCs w:val="21"/>
        </w:rPr>
        <w:t>.</w:t>
      </w:r>
      <w:r w:rsidR="004D562C">
        <w:rPr>
          <w:sz w:val="21"/>
          <w:szCs w:val="21"/>
        </w:rPr>
        <w:t xml:space="preserve"> </w:t>
      </w:r>
    </w:p>
    <w:p w14:paraId="2B710571" w14:textId="29EA8210" w:rsidR="004F077D" w:rsidRPr="00AD6957" w:rsidRDefault="004F077D" w:rsidP="005631BC">
      <w:pPr>
        <w:rPr>
          <w:sz w:val="21"/>
          <w:szCs w:val="21"/>
        </w:rPr>
      </w:pPr>
    </w:p>
    <w:p w14:paraId="3CB7815E" w14:textId="51F72057" w:rsidR="0094334A" w:rsidRDefault="0094400B" w:rsidP="005631BC">
      <w:pPr>
        <w:rPr>
          <w:sz w:val="21"/>
          <w:szCs w:val="21"/>
        </w:rPr>
      </w:pPr>
      <w:r>
        <w:rPr>
          <w:sz w:val="21"/>
          <w:szCs w:val="21"/>
        </w:rPr>
        <w:t xml:space="preserve">The cover article in the </w:t>
      </w:r>
      <w:r w:rsidR="007D3140">
        <w:rPr>
          <w:sz w:val="21"/>
          <w:szCs w:val="21"/>
        </w:rPr>
        <w:t xml:space="preserve">June 30, 2022, issue of the </w:t>
      </w:r>
      <w:r w:rsidRPr="00A81EFE">
        <w:rPr>
          <w:rFonts w:cs="Arial"/>
          <w:i/>
          <w:iCs/>
          <w:sz w:val="21"/>
          <w:szCs w:val="21"/>
        </w:rPr>
        <w:t xml:space="preserve">ISMP Medication Safety </w:t>
      </w:r>
      <w:proofErr w:type="gramStart"/>
      <w:r w:rsidRPr="00A81EFE">
        <w:rPr>
          <w:rFonts w:cs="Arial"/>
          <w:i/>
          <w:iCs/>
          <w:sz w:val="21"/>
          <w:szCs w:val="21"/>
        </w:rPr>
        <w:t>Alert!</w:t>
      </w:r>
      <w:r w:rsidRPr="00A81EFE">
        <w:rPr>
          <w:rFonts w:cs="Arial"/>
          <w:i/>
          <w:iCs/>
          <w:sz w:val="21"/>
          <w:szCs w:val="21"/>
          <w:vertAlign w:val="superscript"/>
        </w:rPr>
        <w:t>®</w:t>
      </w:r>
      <w:proofErr w:type="gramEnd"/>
      <w:r w:rsidRPr="00A81EFE">
        <w:rPr>
          <w:rFonts w:cs="Arial"/>
          <w:i/>
          <w:iCs/>
          <w:sz w:val="21"/>
          <w:szCs w:val="21"/>
          <w:vertAlign w:val="superscript"/>
        </w:rPr>
        <w:t xml:space="preserve"> </w:t>
      </w:r>
      <w:r w:rsidRPr="00A81EFE">
        <w:rPr>
          <w:rFonts w:cs="Arial"/>
          <w:i/>
          <w:iCs/>
          <w:sz w:val="21"/>
          <w:szCs w:val="21"/>
        </w:rPr>
        <w:t>Acute Care</w:t>
      </w:r>
      <w:r>
        <w:rPr>
          <w:rFonts w:cs="Arial"/>
          <w:sz w:val="21"/>
          <w:szCs w:val="21"/>
        </w:rPr>
        <w:t xml:space="preserve"> newsletter</w:t>
      </w:r>
      <w:r w:rsidR="007D3140">
        <w:rPr>
          <w:rFonts w:cs="Arial"/>
          <w:sz w:val="21"/>
          <w:szCs w:val="21"/>
        </w:rPr>
        <w:t xml:space="preserve"> outlines the causes and contributing factors of reported errors</w:t>
      </w:r>
      <w:r w:rsidR="001E074F">
        <w:rPr>
          <w:rFonts w:cs="Arial"/>
          <w:sz w:val="21"/>
          <w:szCs w:val="21"/>
        </w:rPr>
        <w:t xml:space="preserve"> and provides safe practice recommendations</w:t>
      </w:r>
      <w:r w:rsidR="007D3140">
        <w:rPr>
          <w:rFonts w:cs="Arial"/>
          <w:sz w:val="21"/>
          <w:szCs w:val="21"/>
        </w:rPr>
        <w:t>.</w:t>
      </w:r>
      <w:r>
        <w:rPr>
          <w:sz w:val="21"/>
          <w:szCs w:val="21"/>
        </w:rPr>
        <w:t xml:space="preserve"> Paxlovid currently is available in tablet form in two blister pack configurations, with different dosing</w:t>
      </w:r>
      <w:r w:rsidR="00B74754">
        <w:rPr>
          <w:sz w:val="21"/>
          <w:szCs w:val="21"/>
        </w:rPr>
        <w:t xml:space="preserve"> and a specific blister pack</w:t>
      </w:r>
      <w:r>
        <w:rPr>
          <w:sz w:val="21"/>
          <w:szCs w:val="21"/>
        </w:rPr>
        <w:t xml:space="preserve"> for patients who have moderate renal impairment. </w:t>
      </w:r>
    </w:p>
    <w:p w14:paraId="77F53075" w14:textId="1450F676" w:rsidR="00C03A8F" w:rsidRDefault="00C03A8F" w:rsidP="005631BC">
      <w:pPr>
        <w:rPr>
          <w:sz w:val="21"/>
          <w:szCs w:val="21"/>
        </w:rPr>
      </w:pPr>
    </w:p>
    <w:p w14:paraId="3CD2EB23" w14:textId="4A2512BD" w:rsidR="00C03A8F" w:rsidRDefault="00C03A8F" w:rsidP="00C03A8F">
      <w:pPr>
        <w:rPr>
          <w:sz w:val="21"/>
          <w:szCs w:val="21"/>
        </w:rPr>
      </w:pPr>
      <w:r>
        <w:rPr>
          <w:sz w:val="21"/>
          <w:szCs w:val="21"/>
        </w:rPr>
        <w:t xml:space="preserve">Several of the reported errors involved improper renal dosing, such as prescribing or dispensing Paxlovid to patients with </w:t>
      </w:r>
      <w:r w:rsidRPr="007D3140">
        <w:rPr>
          <w:sz w:val="21"/>
          <w:szCs w:val="21"/>
          <w:u w:val="single"/>
        </w:rPr>
        <w:t>severe</w:t>
      </w:r>
      <w:r>
        <w:rPr>
          <w:sz w:val="21"/>
          <w:szCs w:val="21"/>
        </w:rPr>
        <w:t xml:space="preserve"> renal impairment. There </w:t>
      </w:r>
      <w:r w:rsidR="001E074F">
        <w:rPr>
          <w:sz w:val="21"/>
          <w:szCs w:val="21"/>
        </w:rPr>
        <w:t xml:space="preserve">also </w:t>
      </w:r>
      <w:r>
        <w:rPr>
          <w:sz w:val="21"/>
          <w:szCs w:val="21"/>
        </w:rPr>
        <w:t>have been many errors during self-administration, including patients taking the wrong number of tablets or taking tablets at the wrong time.</w:t>
      </w:r>
    </w:p>
    <w:p w14:paraId="7B7C82F4" w14:textId="72B8C1C6" w:rsidR="009C237F" w:rsidRDefault="009C237F" w:rsidP="005631BC">
      <w:pPr>
        <w:rPr>
          <w:sz w:val="21"/>
          <w:szCs w:val="21"/>
        </w:rPr>
      </w:pPr>
    </w:p>
    <w:p w14:paraId="4692FB83" w14:textId="212B7AE1" w:rsidR="009C237F" w:rsidRPr="00AD6957" w:rsidRDefault="009C237F" w:rsidP="00A948D1">
      <w:pPr>
        <w:autoSpaceDE w:val="0"/>
        <w:autoSpaceDN w:val="0"/>
        <w:adjustRightInd w:val="0"/>
        <w:rPr>
          <w:rFonts w:cs="Arial"/>
          <w:sz w:val="21"/>
          <w:szCs w:val="21"/>
        </w:rPr>
      </w:pPr>
      <w:r w:rsidRPr="00A948D1">
        <w:rPr>
          <w:rFonts w:cs="Arial"/>
          <w:sz w:val="21"/>
          <w:szCs w:val="21"/>
        </w:rPr>
        <w:t>“</w:t>
      </w:r>
      <w:r w:rsidR="00C03A8F" w:rsidRPr="00A948D1">
        <w:rPr>
          <w:rFonts w:cs="Arial"/>
          <w:sz w:val="21"/>
          <w:szCs w:val="21"/>
        </w:rPr>
        <w:t xml:space="preserve">ISMP is emphasizing </w:t>
      </w:r>
      <w:r w:rsidRPr="00A948D1">
        <w:rPr>
          <w:rFonts w:cs="Arial"/>
          <w:sz w:val="21"/>
          <w:szCs w:val="21"/>
        </w:rPr>
        <w:t xml:space="preserve">the </w:t>
      </w:r>
      <w:r w:rsidR="00C03A8F" w:rsidRPr="00A948D1">
        <w:rPr>
          <w:rFonts w:cs="Arial"/>
          <w:sz w:val="21"/>
          <w:szCs w:val="21"/>
        </w:rPr>
        <w:t xml:space="preserve">need to </w:t>
      </w:r>
      <w:r w:rsidRPr="00A948D1">
        <w:rPr>
          <w:rFonts w:cs="Arial"/>
          <w:sz w:val="21"/>
          <w:szCs w:val="21"/>
        </w:rPr>
        <w:t>educat</w:t>
      </w:r>
      <w:r w:rsidR="00C03A8F" w:rsidRPr="00A948D1">
        <w:rPr>
          <w:rFonts w:cs="Arial"/>
          <w:sz w:val="21"/>
          <w:szCs w:val="21"/>
        </w:rPr>
        <w:t>e</w:t>
      </w:r>
      <w:r w:rsidRPr="00A948D1">
        <w:rPr>
          <w:rFonts w:cs="Arial"/>
          <w:sz w:val="21"/>
          <w:szCs w:val="21"/>
        </w:rPr>
        <w:t xml:space="preserve"> patients </w:t>
      </w:r>
      <w:r w:rsidR="003848EF" w:rsidRPr="00A948D1">
        <w:rPr>
          <w:rFonts w:cs="Arial"/>
          <w:sz w:val="21"/>
          <w:szCs w:val="21"/>
        </w:rPr>
        <w:t xml:space="preserve">using the teach back method, </w:t>
      </w:r>
      <w:r w:rsidRPr="00A948D1">
        <w:rPr>
          <w:rFonts w:cs="Arial"/>
          <w:sz w:val="21"/>
          <w:szCs w:val="21"/>
        </w:rPr>
        <w:t>since blister pack instructions can be quite confusing</w:t>
      </w:r>
      <w:r w:rsidR="00C03A8F" w:rsidRPr="00A948D1">
        <w:rPr>
          <w:rFonts w:cs="Arial"/>
          <w:sz w:val="21"/>
          <w:szCs w:val="21"/>
        </w:rPr>
        <w:t>,” says ISMP President</w:t>
      </w:r>
      <w:r w:rsidR="008D05AA">
        <w:rPr>
          <w:rFonts w:cs="Arial"/>
          <w:sz w:val="21"/>
          <w:szCs w:val="21"/>
        </w:rPr>
        <w:t xml:space="preserve"> </w:t>
      </w:r>
      <w:r w:rsidR="008D05AA" w:rsidRPr="008D05AA">
        <w:rPr>
          <w:rFonts w:cs="Arial"/>
          <w:sz w:val="21"/>
          <w:szCs w:val="21"/>
        </w:rPr>
        <w:t xml:space="preserve">Rita K. Jew, </w:t>
      </w:r>
      <w:r w:rsidR="008D05AA" w:rsidRPr="008D05AA">
        <w:rPr>
          <w:rFonts w:cs="Arial"/>
          <w:color w:val="141414"/>
          <w:spacing w:val="2"/>
          <w:sz w:val="21"/>
          <w:szCs w:val="21"/>
          <w:shd w:val="clear" w:color="auto" w:fill="FFFFFF"/>
        </w:rPr>
        <w:t>PharmD, MBA, BCPPS, FASHP</w:t>
      </w:r>
      <w:r w:rsidRPr="00A948D1">
        <w:rPr>
          <w:rFonts w:cs="Arial"/>
          <w:sz w:val="21"/>
          <w:szCs w:val="21"/>
        </w:rPr>
        <w:t xml:space="preserve">. </w:t>
      </w:r>
      <w:r w:rsidR="00C03A8F" w:rsidRPr="00A948D1">
        <w:rPr>
          <w:rFonts w:cs="Arial"/>
          <w:sz w:val="21"/>
          <w:szCs w:val="21"/>
        </w:rPr>
        <w:t>“P</w:t>
      </w:r>
      <w:r w:rsidRPr="00A948D1">
        <w:rPr>
          <w:rFonts w:cs="Arial"/>
          <w:sz w:val="21"/>
          <w:szCs w:val="21"/>
        </w:rPr>
        <w:t xml:space="preserve">roviding </w:t>
      </w:r>
      <w:r w:rsidRPr="00A948D1">
        <w:rPr>
          <w:rFonts w:eastAsiaTheme="minorHAnsi" w:cs="Arial"/>
          <w:color w:val="000000"/>
          <w:sz w:val="21"/>
          <w:szCs w:val="21"/>
        </w:rPr>
        <w:t>patients with the</w:t>
      </w:r>
      <w:r w:rsidR="00A948D1">
        <w:rPr>
          <w:rFonts w:eastAsiaTheme="minorHAnsi" w:cs="Arial"/>
          <w:color w:val="000000"/>
          <w:sz w:val="21"/>
          <w:szCs w:val="21"/>
        </w:rPr>
        <w:t xml:space="preserve"> </w:t>
      </w:r>
      <w:proofErr w:type="spellStart"/>
      <w:r w:rsidR="00A948D1">
        <w:rPr>
          <w:rFonts w:eastAsiaTheme="minorHAnsi" w:cs="Arial"/>
          <w:color w:val="000000"/>
          <w:sz w:val="21"/>
          <w:szCs w:val="21"/>
        </w:rPr>
        <w:t>Paxlovid</w:t>
      </w:r>
      <w:proofErr w:type="spellEnd"/>
      <w:r w:rsidRPr="00A948D1">
        <w:rPr>
          <w:rFonts w:eastAsiaTheme="minorHAnsi" w:cs="Arial"/>
          <w:color w:val="000000"/>
          <w:sz w:val="21"/>
          <w:szCs w:val="21"/>
        </w:rPr>
        <w:t xml:space="preserve"> </w:t>
      </w:r>
      <w:r w:rsidRPr="00A948D1">
        <w:rPr>
          <w:rFonts w:eastAsiaTheme="minorHAnsi" w:cs="Arial"/>
          <w:i/>
          <w:iCs/>
          <w:color w:val="000000"/>
          <w:sz w:val="21"/>
          <w:szCs w:val="21"/>
        </w:rPr>
        <w:t xml:space="preserve">Fact Sheet for Patients, Parents, and Caregivers </w:t>
      </w:r>
      <w:r w:rsidR="00A948D1" w:rsidRPr="00A948D1">
        <w:rPr>
          <w:rFonts w:eastAsiaTheme="minorHAnsi" w:cs="Arial"/>
          <w:i/>
          <w:iCs/>
          <w:color w:val="000000"/>
          <w:sz w:val="21"/>
          <w:szCs w:val="21"/>
        </w:rPr>
        <w:t>(</w:t>
      </w:r>
      <w:hyperlink r:id="rId10" w:history="1">
        <w:r w:rsidR="00A948D1" w:rsidRPr="00A948D1">
          <w:rPr>
            <w:rStyle w:val="Hyperlink"/>
            <w:rFonts w:eastAsiaTheme="minorHAnsi" w:cs="Arial"/>
            <w:i/>
            <w:iCs/>
            <w:sz w:val="21"/>
            <w:szCs w:val="21"/>
          </w:rPr>
          <w:t>https://www.fda.gov/media/155051/download</w:t>
        </w:r>
      </w:hyperlink>
      <w:r w:rsidR="00A948D1" w:rsidRPr="00A948D1">
        <w:rPr>
          <w:rFonts w:eastAsiaTheme="minorHAnsi" w:cs="Arial"/>
          <w:i/>
          <w:iCs/>
          <w:color w:val="000000"/>
          <w:sz w:val="21"/>
          <w:szCs w:val="21"/>
        </w:rPr>
        <w:t xml:space="preserve">) </w:t>
      </w:r>
      <w:r w:rsidRPr="00A948D1">
        <w:rPr>
          <w:rFonts w:eastAsiaTheme="minorHAnsi" w:cs="Arial"/>
          <w:color w:val="000000"/>
          <w:sz w:val="21"/>
          <w:szCs w:val="21"/>
        </w:rPr>
        <w:t xml:space="preserve">is a </w:t>
      </w:r>
      <w:r w:rsidR="003848EF" w:rsidRPr="00A948D1">
        <w:rPr>
          <w:rFonts w:eastAsiaTheme="minorHAnsi" w:cs="Arial"/>
          <w:color w:val="000000"/>
          <w:sz w:val="21"/>
          <w:szCs w:val="21"/>
        </w:rPr>
        <w:t>requirement and</w:t>
      </w:r>
      <w:r w:rsidR="00C03A8F" w:rsidRPr="00A948D1">
        <w:rPr>
          <w:rFonts w:eastAsiaTheme="minorHAnsi" w:cs="Arial"/>
          <w:color w:val="000000"/>
          <w:sz w:val="21"/>
          <w:szCs w:val="21"/>
        </w:rPr>
        <w:t xml:space="preserve"> </w:t>
      </w:r>
      <w:r w:rsidR="0020657B" w:rsidRPr="00A948D1">
        <w:rPr>
          <w:rFonts w:eastAsiaTheme="minorHAnsi" w:cs="Arial"/>
          <w:color w:val="000000"/>
          <w:sz w:val="21"/>
          <w:szCs w:val="21"/>
        </w:rPr>
        <w:t>provides printed instructions to follow; if patients have questions they should contact their pharmacist</w:t>
      </w:r>
      <w:r w:rsidR="00A948D1">
        <w:rPr>
          <w:rFonts w:eastAsiaTheme="minorHAnsi" w:cs="Arial"/>
          <w:color w:val="000000"/>
          <w:sz w:val="21"/>
          <w:szCs w:val="21"/>
        </w:rPr>
        <w:t>.”</w:t>
      </w:r>
    </w:p>
    <w:p w14:paraId="1A0CDF72" w14:textId="7AE4E104" w:rsidR="006C2AF9" w:rsidRDefault="006C2AF9" w:rsidP="005631BC">
      <w:pPr>
        <w:rPr>
          <w:sz w:val="21"/>
          <w:szCs w:val="21"/>
        </w:rPr>
      </w:pPr>
    </w:p>
    <w:p w14:paraId="39995708" w14:textId="35B29AC9" w:rsidR="006C2AF9" w:rsidRDefault="006C2AF9" w:rsidP="007C500C">
      <w:pPr>
        <w:spacing w:after="120"/>
        <w:rPr>
          <w:sz w:val="21"/>
          <w:szCs w:val="21"/>
        </w:rPr>
      </w:pPr>
      <w:r>
        <w:rPr>
          <w:sz w:val="21"/>
          <w:szCs w:val="21"/>
        </w:rPr>
        <w:t xml:space="preserve">ISMP safe practice recommendations </w:t>
      </w:r>
      <w:r w:rsidR="007C500C">
        <w:rPr>
          <w:sz w:val="21"/>
          <w:szCs w:val="21"/>
        </w:rPr>
        <w:t xml:space="preserve">for Paxlovid </w:t>
      </w:r>
      <w:r>
        <w:rPr>
          <w:sz w:val="21"/>
          <w:szCs w:val="21"/>
        </w:rPr>
        <w:t>include:</w:t>
      </w:r>
    </w:p>
    <w:p w14:paraId="6DD18D91" w14:textId="6BDD3744" w:rsidR="006C2AF9" w:rsidRDefault="006C2AF9" w:rsidP="00D50E55">
      <w:pPr>
        <w:pStyle w:val="ListParagraph"/>
        <w:numPr>
          <w:ilvl w:val="0"/>
          <w:numId w:val="1"/>
        </w:numPr>
        <w:spacing w:after="120"/>
        <w:contextualSpacing w:val="0"/>
        <w:rPr>
          <w:sz w:val="21"/>
          <w:szCs w:val="21"/>
        </w:rPr>
      </w:pPr>
      <w:r w:rsidRPr="00C8274E">
        <w:rPr>
          <w:b/>
          <w:bCs/>
          <w:sz w:val="21"/>
          <w:szCs w:val="21"/>
        </w:rPr>
        <w:t xml:space="preserve">Increase </w:t>
      </w:r>
      <w:r w:rsidR="00D50E55">
        <w:rPr>
          <w:b/>
          <w:bCs/>
          <w:sz w:val="21"/>
          <w:szCs w:val="21"/>
        </w:rPr>
        <w:t>a</w:t>
      </w:r>
      <w:r w:rsidRPr="00C8274E">
        <w:rPr>
          <w:b/>
          <w:bCs/>
          <w:sz w:val="21"/>
          <w:szCs w:val="21"/>
        </w:rPr>
        <w:t>wareness</w:t>
      </w:r>
      <w:r w:rsidR="00D50E55">
        <w:rPr>
          <w:b/>
          <w:bCs/>
          <w:sz w:val="21"/>
          <w:szCs w:val="21"/>
        </w:rPr>
        <w:t xml:space="preserve">. </w:t>
      </w:r>
      <w:r>
        <w:rPr>
          <w:sz w:val="21"/>
          <w:szCs w:val="21"/>
        </w:rPr>
        <w:t xml:space="preserve">Educate prescribers and pharmacists about the reduced-dose blister package for patients with </w:t>
      </w:r>
      <w:r w:rsidR="003848EF" w:rsidRPr="0020657B">
        <w:rPr>
          <w:sz w:val="21"/>
          <w:szCs w:val="21"/>
        </w:rPr>
        <w:t>moderate</w:t>
      </w:r>
      <w:r w:rsidR="003848EF">
        <w:rPr>
          <w:sz w:val="21"/>
          <w:szCs w:val="21"/>
        </w:rPr>
        <w:t xml:space="preserve"> </w:t>
      </w:r>
      <w:r>
        <w:rPr>
          <w:sz w:val="21"/>
          <w:szCs w:val="21"/>
        </w:rPr>
        <w:t xml:space="preserve">renal impairment and who should receive it. </w:t>
      </w:r>
    </w:p>
    <w:p w14:paraId="54374D19" w14:textId="15ED5877" w:rsidR="006C2AF9" w:rsidRDefault="006C2AF9" w:rsidP="00D50E55">
      <w:pPr>
        <w:pStyle w:val="ListParagraph"/>
        <w:numPr>
          <w:ilvl w:val="0"/>
          <w:numId w:val="1"/>
        </w:numPr>
        <w:spacing w:after="120"/>
        <w:contextualSpacing w:val="0"/>
        <w:rPr>
          <w:sz w:val="21"/>
          <w:szCs w:val="21"/>
        </w:rPr>
      </w:pPr>
      <w:r w:rsidRPr="00C8274E">
        <w:rPr>
          <w:b/>
          <w:bCs/>
          <w:sz w:val="21"/>
          <w:szCs w:val="21"/>
        </w:rPr>
        <w:t xml:space="preserve">Check EHR </w:t>
      </w:r>
      <w:r w:rsidR="00D50E55">
        <w:rPr>
          <w:b/>
          <w:bCs/>
          <w:sz w:val="21"/>
          <w:szCs w:val="21"/>
        </w:rPr>
        <w:t>c</w:t>
      </w:r>
      <w:r w:rsidRPr="00C8274E">
        <w:rPr>
          <w:b/>
          <w:bCs/>
          <w:sz w:val="21"/>
          <w:szCs w:val="21"/>
        </w:rPr>
        <w:t>onfiguration</w:t>
      </w:r>
      <w:r w:rsidR="00D50E55">
        <w:rPr>
          <w:b/>
          <w:bCs/>
          <w:sz w:val="21"/>
          <w:szCs w:val="21"/>
        </w:rPr>
        <w:t xml:space="preserve">. </w:t>
      </w:r>
      <w:r w:rsidR="00C8274E">
        <w:rPr>
          <w:sz w:val="21"/>
          <w:szCs w:val="21"/>
        </w:rPr>
        <w:t>Ensure it is intuitive to select 2 of the 150 mg nirmatrelvir tablets to make up a 300 mg dose. On drop down menus, it is safest to list Paxlovid as a 300 mg and 100 mg dose pack, or a 150 mg and 100 mg dose pack (as stated on cartons).</w:t>
      </w:r>
    </w:p>
    <w:p w14:paraId="4D67849A" w14:textId="1756EAB4" w:rsidR="00A948D1" w:rsidRDefault="00A948D1" w:rsidP="00A948D1">
      <w:pPr>
        <w:pStyle w:val="ListParagraph"/>
        <w:spacing w:after="120"/>
        <w:contextualSpacing w:val="0"/>
        <w:rPr>
          <w:b/>
          <w:bCs/>
          <w:sz w:val="21"/>
          <w:szCs w:val="21"/>
        </w:rPr>
      </w:pPr>
    </w:p>
    <w:p w14:paraId="7C76BE4C" w14:textId="77777777" w:rsidR="00A948D1" w:rsidRDefault="00A948D1" w:rsidP="00A948D1">
      <w:pPr>
        <w:pStyle w:val="ListParagraph"/>
        <w:spacing w:after="120"/>
        <w:contextualSpacing w:val="0"/>
        <w:rPr>
          <w:sz w:val="21"/>
          <w:szCs w:val="21"/>
        </w:rPr>
      </w:pPr>
    </w:p>
    <w:p w14:paraId="0E24D68E" w14:textId="4DD69E52" w:rsidR="00D50E55" w:rsidRPr="004F077D" w:rsidRDefault="00C8274E" w:rsidP="00D50E55">
      <w:pPr>
        <w:pStyle w:val="ListParagraph"/>
        <w:numPr>
          <w:ilvl w:val="0"/>
          <w:numId w:val="1"/>
        </w:numPr>
        <w:spacing w:after="120"/>
        <w:contextualSpacing w:val="0"/>
        <w:rPr>
          <w:sz w:val="21"/>
          <w:szCs w:val="21"/>
        </w:rPr>
      </w:pPr>
      <w:r>
        <w:rPr>
          <w:b/>
          <w:bCs/>
          <w:sz w:val="21"/>
          <w:szCs w:val="21"/>
        </w:rPr>
        <w:t xml:space="preserve">Provide </w:t>
      </w:r>
      <w:r w:rsidR="00D50E55">
        <w:rPr>
          <w:b/>
          <w:bCs/>
          <w:sz w:val="21"/>
          <w:szCs w:val="21"/>
        </w:rPr>
        <w:t>c</w:t>
      </w:r>
      <w:r>
        <w:rPr>
          <w:b/>
          <w:bCs/>
          <w:sz w:val="21"/>
          <w:szCs w:val="21"/>
        </w:rPr>
        <w:t xml:space="preserve">linical </w:t>
      </w:r>
      <w:r w:rsidR="00D50E55">
        <w:rPr>
          <w:b/>
          <w:bCs/>
          <w:sz w:val="21"/>
          <w:szCs w:val="21"/>
        </w:rPr>
        <w:t>d</w:t>
      </w:r>
      <w:r>
        <w:rPr>
          <w:b/>
          <w:bCs/>
          <w:sz w:val="21"/>
          <w:szCs w:val="21"/>
        </w:rPr>
        <w:t xml:space="preserve">ecision </w:t>
      </w:r>
      <w:r w:rsidR="00D50E55">
        <w:rPr>
          <w:b/>
          <w:bCs/>
          <w:sz w:val="21"/>
          <w:szCs w:val="21"/>
        </w:rPr>
        <w:t>s</w:t>
      </w:r>
      <w:r>
        <w:rPr>
          <w:b/>
          <w:bCs/>
          <w:sz w:val="21"/>
          <w:szCs w:val="21"/>
        </w:rPr>
        <w:t>upport</w:t>
      </w:r>
      <w:r w:rsidR="00D50E55">
        <w:rPr>
          <w:b/>
          <w:bCs/>
          <w:sz w:val="21"/>
          <w:szCs w:val="21"/>
        </w:rPr>
        <w:t xml:space="preserve">. </w:t>
      </w:r>
      <w:r>
        <w:rPr>
          <w:sz w:val="21"/>
          <w:szCs w:val="21"/>
        </w:rPr>
        <w:t>If possible, give guidance for Paxlovid in prescribing systems, such as an order sentence with dosing for patients with moderate renal impairment.</w:t>
      </w:r>
    </w:p>
    <w:p w14:paraId="236405D0" w14:textId="7CDF35F2" w:rsidR="00A948D1" w:rsidRDefault="00C8274E" w:rsidP="00A948D1">
      <w:pPr>
        <w:pStyle w:val="ListParagraph"/>
        <w:numPr>
          <w:ilvl w:val="0"/>
          <w:numId w:val="1"/>
        </w:numPr>
        <w:spacing w:after="120"/>
        <w:contextualSpacing w:val="0"/>
        <w:rPr>
          <w:sz w:val="21"/>
          <w:szCs w:val="21"/>
        </w:rPr>
      </w:pPr>
      <w:r w:rsidRPr="00D50E55">
        <w:rPr>
          <w:b/>
          <w:bCs/>
          <w:sz w:val="21"/>
          <w:szCs w:val="21"/>
        </w:rPr>
        <w:t xml:space="preserve">Check and </w:t>
      </w:r>
      <w:r w:rsidR="00D50E55">
        <w:rPr>
          <w:b/>
          <w:bCs/>
          <w:sz w:val="21"/>
          <w:szCs w:val="21"/>
        </w:rPr>
        <w:t>c</w:t>
      </w:r>
      <w:r w:rsidRPr="00D50E55">
        <w:rPr>
          <w:b/>
          <w:bCs/>
          <w:sz w:val="21"/>
          <w:szCs w:val="21"/>
        </w:rPr>
        <w:t xml:space="preserve">onfirm </w:t>
      </w:r>
      <w:r w:rsidR="00D50E55">
        <w:rPr>
          <w:b/>
          <w:bCs/>
          <w:sz w:val="21"/>
          <w:szCs w:val="21"/>
        </w:rPr>
        <w:t>r</w:t>
      </w:r>
      <w:r w:rsidRPr="00D50E55">
        <w:rPr>
          <w:b/>
          <w:bCs/>
          <w:sz w:val="21"/>
          <w:szCs w:val="21"/>
        </w:rPr>
        <w:t xml:space="preserve">enal </w:t>
      </w:r>
      <w:r w:rsidR="00D50E55">
        <w:rPr>
          <w:b/>
          <w:bCs/>
          <w:sz w:val="21"/>
          <w:szCs w:val="21"/>
        </w:rPr>
        <w:t>f</w:t>
      </w:r>
      <w:r w:rsidRPr="00D50E55">
        <w:rPr>
          <w:b/>
          <w:bCs/>
          <w:sz w:val="21"/>
          <w:szCs w:val="21"/>
        </w:rPr>
        <w:t>unction.</w:t>
      </w:r>
      <w:r w:rsidRPr="00D50E55">
        <w:rPr>
          <w:sz w:val="21"/>
          <w:szCs w:val="21"/>
        </w:rPr>
        <w:t xml:space="preserve"> </w:t>
      </w:r>
      <w:r w:rsidR="00D50E55" w:rsidRPr="00D50E55">
        <w:rPr>
          <w:sz w:val="21"/>
          <w:szCs w:val="21"/>
        </w:rPr>
        <w:t xml:space="preserve">There is </w:t>
      </w:r>
      <w:r w:rsidR="00A948D1">
        <w:rPr>
          <w:sz w:val="21"/>
          <w:szCs w:val="21"/>
        </w:rPr>
        <w:t xml:space="preserve">a screening checklist tool </w:t>
      </w:r>
      <w:r w:rsidR="00D50E55" w:rsidRPr="00D50E55">
        <w:rPr>
          <w:sz w:val="21"/>
          <w:szCs w:val="21"/>
        </w:rPr>
        <w:t>available from the FDA</w:t>
      </w:r>
      <w:r w:rsidR="00AC07B2">
        <w:rPr>
          <w:sz w:val="21"/>
          <w:szCs w:val="21"/>
        </w:rPr>
        <w:t xml:space="preserve"> that can also help identify significant drug interactions</w:t>
      </w:r>
      <w:r w:rsidR="00A948D1">
        <w:rPr>
          <w:sz w:val="21"/>
          <w:szCs w:val="21"/>
        </w:rPr>
        <w:t xml:space="preserve">: </w:t>
      </w:r>
      <w:hyperlink r:id="rId11" w:history="1">
        <w:r w:rsidR="00A948D1" w:rsidRPr="00137918">
          <w:rPr>
            <w:rStyle w:val="Hyperlink"/>
            <w:sz w:val="21"/>
            <w:szCs w:val="21"/>
          </w:rPr>
          <w:t>https://www.fda.gov/media/158165/download</w:t>
        </w:r>
      </w:hyperlink>
    </w:p>
    <w:p w14:paraId="15F6CA89" w14:textId="1E7BE3DD" w:rsidR="00D50E55" w:rsidRPr="00A948D1" w:rsidRDefault="00D50E55" w:rsidP="00A948D1">
      <w:pPr>
        <w:pStyle w:val="ListParagraph"/>
        <w:numPr>
          <w:ilvl w:val="0"/>
          <w:numId w:val="1"/>
        </w:numPr>
        <w:spacing w:after="120"/>
        <w:contextualSpacing w:val="0"/>
        <w:rPr>
          <w:sz w:val="21"/>
          <w:szCs w:val="21"/>
        </w:rPr>
      </w:pPr>
      <w:r w:rsidRPr="00A948D1">
        <w:rPr>
          <w:b/>
          <w:bCs/>
          <w:sz w:val="21"/>
          <w:szCs w:val="21"/>
        </w:rPr>
        <w:t>Avoid communicating the dose by tablet or blister color.</w:t>
      </w:r>
      <w:r w:rsidRPr="00A948D1">
        <w:rPr>
          <w:sz w:val="21"/>
          <w:szCs w:val="21"/>
        </w:rPr>
        <w:t xml:space="preserve"> Referring to color can cause the patient to misunderstand which to take.</w:t>
      </w:r>
    </w:p>
    <w:p w14:paraId="56971B50" w14:textId="05544359" w:rsidR="005631BC" w:rsidRPr="007C500C" w:rsidRDefault="007C500C" w:rsidP="005631BC">
      <w:pPr>
        <w:pStyle w:val="ListParagraph"/>
        <w:numPr>
          <w:ilvl w:val="0"/>
          <w:numId w:val="1"/>
        </w:numPr>
        <w:spacing w:after="120"/>
        <w:contextualSpacing w:val="0"/>
        <w:rPr>
          <w:sz w:val="21"/>
          <w:szCs w:val="21"/>
        </w:rPr>
      </w:pPr>
      <w:r>
        <w:rPr>
          <w:b/>
          <w:bCs/>
          <w:sz w:val="21"/>
          <w:szCs w:val="21"/>
        </w:rPr>
        <w:t>Educate patients.</w:t>
      </w:r>
      <w:r>
        <w:rPr>
          <w:sz w:val="21"/>
          <w:szCs w:val="21"/>
        </w:rPr>
        <w:t xml:space="preserve"> Show patients how the medication is labeled on the blister pack, and make sure they know which tablets to take and when, and to remove each tablet just prior to taking the dose.</w:t>
      </w:r>
    </w:p>
    <w:p w14:paraId="6004CB1A" w14:textId="77777777" w:rsidR="005631BC" w:rsidRDefault="005631BC" w:rsidP="005631BC">
      <w:pPr>
        <w:rPr>
          <w:sz w:val="21"/>
          <w:szCs w:val="21"/>
        </w:rPr>
      </w:pPr>
    </w:p>
    <w:p w14:paraId="32F09570" w14:textId="0F8978A0" w:rsidR="005631BC" w:rsidRDefault="005631BC" w:rsidP="005631BC">
      <w:pPr>
        <w:rPr>
          <w:rFonts w:cs="Arial"/>
          <w:sz w:val="21"/>
          <w:szCs w:val="21"/>
        </w:rPr>
      </w:pPr>
      <w:r>
        <w:rPr>
          <w:rFonts w:cs="Arial"/>
          <w:sz w:val="21"/>
          <w:szCs w:val="21"/>
        </w:rPr>
        <w:t>For a copy of</w:t>
      </w:r>
      <w:r w:rsidRPr="00771997">
        <w:rPr>
          <w:rFonts w:cs="Arial"/>
          <w:sz w:val="21"/>
          <w:szCs w:val="21"/>
        </w:rPr>
        <w:t xml:space="preserve"> the</w:t>
      </w:r>
      <w:r>
        <w:rPr>
          <w:rFonts w:cs="Arial"/>
          <w:sz w:val="21"/>
          <w:szCs w:val="21"/>
        </w:rPr>
        <w:t xml:space="preserve"> </w:t>
      </w:r>
      <w:r w:rsidR="007C500C">
        <w:rPr>
          <w:rFonts w:cs="Arial"/>
          <w:sz w:val="21"/>
          <w:szCs w:val="21"/>
        </w:rPr>
        <w:t xml:space="preserve">ISMP </w:t>
      </w:r>
      <w:r w:rsidR="006C2AF9">
        <w:rPr>
          <w:sz w:val="21"/>
          <w:szCs w:val="21"/>
        </w:rPr>
        <w:t xml:space="preserve">newsletter article with </w:t>
      </w:r>
      <w:r w:rsidR="007C500C">
        <w:rPr>
          <w:sz w:val="21"/>
          <w:szCs w:val="21"/>
        </w:rPr>
        <w:t xml:space="preserve">more details and the </w:t>
      </w:r>
      <w:r w:rsidR="006C2AF9">
        <w:rPr>
          <w:sz w:val="21"/>
          <w:szCs w:val="21"/>
        </w:rPr>
        <w:t>full list of recommendations</w:t>
      </w:r>
      <w:r w:rsidRPr="00A866B8">
        <w:rPr>
          <w:sz w:val="21"/>
          <w:szCs w:val="21"/>
        </w:rPr>
        <w:t>, visit</w:t>
      </w:r>
      <w:r w:rsidRPr="00A866B8">
        <w:rPr>
          <w:rFonts w:cs="Arial"/>
          <w:sz w:val="21"/>
          <w:szCs w:val="21"/>
        </w:rPr>
        <w:t>:</w:t>
      </w:r>
      <w:r w:rsidR="003F21F5">
        <w:rPr>
          <w:rFonts w:cs="Arial"/>
          <w:sz w:val="21"/>
          <w:szCs w:val="21"/>
        </w:rPr>
        <w:t xml:space="preserve"> </w:t>
      </w:r>
      <w:hyperlink r:id="rId12" w:history="1">
        <w:r w:rsidR="0020657B" w:rsidRPr="00137918">
          <w:rPr>
            <w:rStyle w:val="Hyperlink"/>
            <w:rFonts w:cs="Arial"/>
            <w:sz w:val="21"/>
            <w:szCs w:val="21"/>
          </w:rPr>
          <w:t>https://www.ismp.org/resources/numerous-wrong-dose-errors-paxlovid</w:t>
        </w:r>
      </w:hyperlink>
    </w:p>
    <w:p w14:paraId="71CF579D" w14:textId="77777777" w:rsidR="0020657B" w:rsidRDefault="0020657B" w:rsidP="005631BC">
      <w:pPr>
        <w:rPr>
          <w:rFonts w:cs="Arial"/>
          <w:sz w:val="21"/>
          <w:szCs w:val="21"/>
        </w:rPr>
      </w:pPr>
    </w:p>
    <w:p w14:paraId="22586968" w14:textId="3D84819C" w:rsidR="005631BC" w:rsidRDefault="005631BC" w:rsidP="005631BC">
      <w:pPr>
        <w:pStyle w:val="NormalWeb"/>
        <w:spacing w:before="0" w:beforeAutospacing="0" w:after="0" w:afterAutospacing="0"/>
        <w:rPr>
          <w:b/>
          <w:bCs/>
          <w:color w:val="000000"/>
          <w:spacing w:val="2"/>
          <w:sz w:val="16"/>
          <w:szCs w:val="16"/>
          <w:shd w:val="clear" w:color="auto" w:fill="FFFFFF"/>
        </w:rPr>
      </w:pPr>
    </w:p>
    <w:p w14:paraId="1F6D2500" w14:textId="77777777" w:rsidR="004F077D" w:rsidRDefault="004F077D" w:rsidP="005631BC">
      <w:pPr>
        <w:pStyle w:val="NormalWeb"/>
        <w:spacing w:before="0" w:beforeAutospacing="0" w:after="0" w:afterAutospacing="0"/>
        <w:rPr>
          <w:b/>
          <w:bCs/>
          <w:color w:val="000000"/>
          <w:spacing w:val="2"/>
          <w:sz w:val="16"/>
          <w:szCs w:val="16"/>
          <w:shd w:val="clear" w:color="auto" w:fill="FFFFFF"/>
        </w:rPr>
      </w:pPr>
    </w:p>
    <w:p w14:paraId="34D089AF" w14:textId="77777777" w:rsidR="005631BC" w:rsidRPr="005631BC" w:rsidRDefault="005631BC" w:rsidP="005631BC">
      <w:pPr>
        <w:pStyle w:val="NormalWeb"/>
        <w:spacing w:before="0" w:beforeAutospacing="0" w:after="0" w:afterAutospacing="0"/>
        <w:rPr>
          <w:b/>
          <w:bCs/>
          <w:color w:val="000000"/>
          <w:spacing w:val="2"/>
          <w:sz w:val="16"/>
          <w:szCs w:val="16"/>
          <w:shd w:val="clear" w:color="auto" w:fill="FFFFFF"/>
        </w:rPr>
      </w:pPr>
      <w:r w:rsidRPr="005631BC">
        <w:rPr>
          <w:b/>
          <w:bCs/>
          <w:color w:val="000000"/>
          <w:spacing w:val="2"/>
          <w:sz w:val="16"/>
          <w:szCs w:val="16"/>
          <w:shd w:val="clear" w:color="auto" w:fill="FFFFFF"/>
        </w:rPr>
        <w:t>About the Institute for Safe Medication Practices</w:t>
      </w:r>
    </w:p>
    <w:p w14:paraId="3F3EBC51" w14:textId="77777777" w:rsidR="005631BC" w:rsidRPr="005631BC" w:rsidRDefault="005631BC" w:rsidP="005631BC">
      <w:pPr>
        <w:pStyle w:val="NormalWeb"/>
        <w:shd w:val="clear" w:color="auto" w:fill="FFFFFF"/>
        <w:spacing w:before="0" w:beforeAutospacing="0" w:after="0" w:afterAutospacing="0"/>
        <w:rPr>
          <w:color w:val="141414"/>
          <w:sz w:val="16"/>
          <w:szCs w:val="16"/>
        </w:rPr>
      </w:pPr>
      <w:r w:rsidRPr="005631BC">
        <w:rPr>
          <w:color w:val="000000"/>
          <w:spacing w:val="2"/>
          <w:sz w:val="16"/>
          <w:szCs w:val="16"/>
          <w:shd w:val="clear" w:color="auto" w:fill="FFFFFF"/>
        </w:rPr>
        <w:t xml:space="preserve">The Institute for Safe Medication Practices (ISMP) is the nation’s first 501c (3) nonprofit organization devoted entirely to preventing medication errors. </w:t>
      </w:r>
      <w:r w:rsidRPr="005631BC">
        <w:rPr>
          <w:color w:val="141414"/>
          <w:sz w:val="16"/>
          <w:szCs w:val="16"/>
        </w:rPr>
        <w:t xml:space="preserve">ISMP is known and respected for its medication safety information. For more than 25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entities in the world, and ECRI and the ISMP PSO is a federally certified patient safety organization by the U.S. Department of Health and Human Services. As an independent watchdog organization, ISMP receives no advertising revenue and depends entirely on charitable donations, educational grants, newsletter subscriptions, and volunteer efforts to pursue its life-saving work. Visit </w:t>
      </w:r>
      <w:hyperlink r:id="rId13" w:history="1">
        <w:r w:rsidRPr="005631BC">
          <w:rPr>
            <w:rStyle w:val="Hyperlink"/>
            <w:sz w:val="16"/>
            <w:szCs w:val="16"/>
          </w:rPr>
          <w:t>www.ismp.org</w:t>
        </w:r>
      </w:hyperlink>
      <w:r w:rsidRPr="005631BC">
        <w:rPr>
          <w:color w:val="141414"/>
          <w:sz w:val="16"/>
          <w:szCs w:val="16"/>
        </w:rPr>
        <w:t xml:space="preserve"> and follow @ismp_org to learn more. </w:t>
      </w:r>
    </w:p>
    <w:p w14:paraId="52A829AB" w14:textId="69574401" w:rsidR="00AF0E99" w:rsidRDefault="00AF0E99"/>
    <w:sectPr w:rsidR="00AF0E99" w:rsidSect="0047646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7D2B" w14:textId="77777777" w:rsidR="003F0BB3" w:rsidRDefault="003F0BB3" w:rsidP="00927FB4">
      <w:pPr>
        <w:spacing w:line="240" w:lineRule="auto"/>
      </w:pPr>
      <w:r>
        <w:separator/>
      </w:r>
    </w:p>
  </w:endnote>
  <w:endnote w:type="continuationSeparator" w:id="0">
    <w:p w14:paraId="6F3D3654" w14:textId="77777777" w:rsidR="003F0BB3" w:rsidRDefault="003F0BB3" w:rsidP="00927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C54819" w14:paraId="6A772054" w14:textId="77777777" w:rsidTr="1AC54819">
      <w:tc>
        <w:tcPr>
          <w:tcW w:w="3120" w:type="dxa"/>
        </w:tcPr>
        <w:p w14:paraId="3A73EA1F" w14:textId="52F6D706" w:rsidR="1AC54819" w:rsidRDefault="1AC54819" w:rsidP="1AC54819">
          <w:pPr>
            <w:pStyle w:val="Header"/>
            <w:ind w:left="-115"/>
          </w:pPr>
        </w:p>
      </w:tc>
      <w:tc>
        <w:tcPr>
          <w:tcW w:w="3120" w:type="dxa"/>
        </w:tcPr>
        <w:p w14:paraId="71688508" w14:textId="4B8F613B" w:rsidR="1AC54819" w:rsidRDefault="1AC54819" w:rsidP="1AC54819">
          <w:pPr>
            <w:pStyle w:val="Header"/>
            <w:jc w:val="center"/>
          </w:pPr>
        </w:p>
      </w:tc>
      <w:tc>
        <w:tcPr>
          <w:tcW w:w="3120" w:type="dxa"/>
        </w:tcPr>
        <w:p w14:paraId="5CF0ED31" w14:textId="79995F55" w:rsidR="1AC54819" w:rsidRDefault="1AC54819" w:rsidP="1AC54819">
          <w:pPr>
            <w:pStyle w:val="Header"/>
            <w:ind w:right="-115"/>
            <w:jc w:val="right"/>
          </w:pPr>
        </w:p>
      </w:tc>
    </w:tr>
  </w:tbl>
  <w:p w14:paraId="0E1B55E4" w14:textId="3CCCC369" w:rsidR="1AC54819" w:rsidRDefault="1AC54819" w:rsidP="1AC5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705F" w14:textId="77777777" w:rsidR="003F0BB3" w:rsidRDefault="003F0BB3" w:rsidP="00927FB4">
      <w:pPr>
        <w:spacing w:line="240" w:lineRule="auto"/>
      </w:pPr>
      <w:r>
        <w:separator/>
      </w:r>
    </w:p>
  </w:footnote>
  <w:footnote w:type="continuationSeparator" w:id="0">
    <w:p w14:paraId="6E4EAE49" w14:textId="77777777" w:rsidR="003F0BB3" w:rsidRDefault="003F0BB3" w:rsidP="00927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5AC" w14:textId="5DE13BC1" w:rsidR="00AA0905" w:rsidRDefault="00AA0905" w:rsidP="00927FB4">
    <w:pPr>
      <w:pStyle w:val="Header"/>
      <w:jc w:val="right"/>
      <w:rPr>
        <w:rFonts w:ascii="Open Sans" w:hAnsi="Open Sans" w:cs="Open Sans"/>
        <w:color w:val="7B7B7B" w:themeColor="accent3" w:themeShade="BF"/>
        <w:sz w:val="20"/>
        <w:szCs w:val="20"/>
      </w:rPr>
    </w:pPr>
    <w:r>
      <w:rPr>
        <w:noProof/>
      </w:rPr>
      <w:drawing>
        <wp:anchor distT="0" distB="0" distL="114300" distR="114300" simplePos="0" relativeHeight="251658752" behindDoc="0" locked="0" layoutInCell="1" allowOverlap="1" wp14:anchorId="23568D30" wp14:editId="29FC1813">
          <wp:simplePos x="0" y="0"/>
          <wp:positionH relativeFrom="column">
            <wp:posOffset>-441253</wp:posOffset>
          </wp:positionH>
          <wp:positionV relativeFrom="paragraph">
            <wp:posOffset>-351155</wp:posOffset>
          </wp:positionV>
          <wp:extent cx="2196465" cy="1015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465" cy="1015986"/>
                  </a:xfrm>
                  <a:prstGeom prst="rect">
                    <a:avLst/>
                  </a:prstGeom>
                </pic:spPr>
              </pic:pic>
            </a:graphicData>
          </a:graphic>
          <wp14:sizeRelH relativeFrom="page">
            <wp14:pctWidth>0</wp14:pctWidth>
          </wp14:sizeRelH>
          <wp14:sizeRelV relativeFrom="page">
            <wp14:pctHeight>0</wp14:pctHeight>
          </wp14:sizeRelV>
        </wp:anchor>
      </w:drawing>
    </w:r>
  </w:p>
  <w:p w14:paraId="633F43ED" w14:textId="30523C54" w:rsidR="00927FB4" w:rsidRDefault="00927FB4" w:rsidP="00927FB4">
    <w:pPr>
      <w:pStyle w:val="Header"/>
      <w:jc w:val="right"/>
      <w:rPr>
        <w:rFonts w:ascii="Open Sans" w:hAnsi="Open Sans" w:cs="Open Sans"/>
        <w:color w:val="7B7B7B" w:themeColor="accent3" w:themeShade="BF"/>
        <w:sz w:val="20"/>
        <w:szCs w:val="20"/>
      </w:rPr>
    </w:pPr>
  </w:p>
  <w:p w14:paraId="4C78D5E5" w14:textId="370A400A" w:rsidR="00927FB4" w:rsidRDefault="00927FB4" w:rsidP="00927FB4">
    <w:pPr>
      <w:pStyle w:val="Header"/>
      <w:jc w:val="right"/>
      <w:rPr>
        <w:rFonts w:ascii="Open Sans" w:hAnsi="Open Sans" w:cs="Open Sans"/>
        <w:color w:val="7B7B7B" w:themeColor="accent3" w:themeShade="BF"/>
        <w:sz w:val="20"/>
        <w:szCs w:val="20"/>
      </w:rPr>
    </w:pPr>
  </w:p>
  <w:p w14:paraId="6056CCAE" w14:textId="1F47974D" w:rsidR="00927FB4" w:rsidRDefault="00927FB4" w:rsidP="00927FB4">
    <w:pPr>
      <w:pStyle w:val="Header"/>
      <w:jc w:val="right"/>
      <w:rPr>
        <w:rFonts w:ascii="Open Sans" w:hAnsi="Open Sans" w:cs="Open Sans"/>
        <w:color w:val="7B7B7B" w:themeColor="accent3" w:themeShade="BF"/>
        <w:sz w:val="20"/>
        <w:szCs w:val="20"/>
      </w:rPr>
    </w:pPr>
    <w:r>
      <w:rPr>
        <w:rFonts w:ascii="Open Sans" w:hAnsi="Open Sans" w:cs="Open Sans"/>
        <w:noProof/>
        <w:color w:val="A5A5A5" w:themeColor="accent3"/>
        <w:sz w:val="20"/>
        <w:szCs w:val="20"/>
      </w:rPr>
      <mc:AlternateContent>
        <mc:Choice Requires="wps">
          <w:drawing>
            <wp:anchor distT="0" distB="0" distL="114300" distR="114300" simplePos="0" relativeHeight="251661312" behindDoc="0" locked="0" layoutInCell="1" allowOverlap="1" wp14:anchorId="04A59504" wp14:editId="22336B07">
              <wp:simplePos x="0" y="0"/>
              <wp:positionH relativeFrom="column">
                <wp:posOffset>-790575</wp:posOffset>
              </wp:positionH>
              <wp:positionV relativeFrom="paragraph">
                <wp:posOffset>210820</wp:posOffset>
              </wp:positionV>
              <wp:extent cx="74199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419975" cy="0"/>
                      </a:xfrm>
                      <a:prstGeom prst="line">
                        <a:avLst/>
                      </a:prstGeom>
                      <a:ln w="19050">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5FCE40F" id="Straight Connector 2"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16.6pt" to="5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" strokecolor="#418fde" strokeweight="1.5pt">
              <v:stroke joinstyle="miter"/>
            </v:line>
          </w:pict>
        </mc:Fallback>
      </mc:AlternateContent>
    </w:r>
  </w:p>
  <w:p w14:paraId="45B106AE" w14:textId="4376CFFE" w:rsidR="00927FB4" w:rsidRPr="007150D6" w:rsidRDefault="00927FB4" w:rsidP="00927FB4">
    <w:pPr>
      <w:pStyle w:val="Header"/>
      <w:jc w:val="right"/>
      <w:rPr>
        <w:rFonts w:ascii="Open Sans" w:hAnsi="Open Sans" w:cs="Open Sans"/>
        <w:color w:val="1C252C"/>
        <w:sz w:val="20"/>
        <w:szCs w:val="20"/>
      </w:rPr>
    </w:pPr>
    <w:r>
      <w:rPr>
        <w:rFonts w:ascii="Open Sans" w:hAnsi="Open Sans" w:cs="Open Sans"/>
        <w:color w:val="7B7B7B" w:themeColor="accent3" w:themeShade="BF"/>
        <w:sz w:val="20"/>
        <w:szCs w:val="20"/>
      </w:rPr>
      <w:br/>
    </w:r>
    <w:r w:rsidRPr="007150D6">
      <w:rPr>
        <w:rFonts w:ascii="Open Sans" w:hAnsi="Open Sans" w:cs="Open Sans"/>
        <w:color w:val="1C252C"/>
        <w:sz w:val="20"/>
        <w:szCs w:val="20"/>
      </w:rPr>
      <w:t>5200 Butler Pike</w:t>
    </w:r>
    <w:r w:rsidRPr="007150D6">
      <w:rPr>
        <w:rFonts w:ascii="Open Sans" w:hAnsi="Open Sans" w:cs="Open Sans"/>
        <w:color w:val="418FDE"/>
        <w:sz w:val="20"/>
        <w:szCs w:val="20"/>
      </w:rPr>
      <w:t xml:space="preserve"> </w:t>
    </w:r>
    <w:r w:rsidRPr="007150D6">
      <w:rPr>
        <w:rFonts w:ascii="Open Sans" w:hAnsi="Open Sans" w:cs="Open Sans"/>
        <w:b/>
        <w:bCs/>
        <w:color w:val="418FDE"/>
        <w:sz w:val="20"/>
        <w:szCs w:val="20"/>
      </w:rPr>
      <w:t>|</w:t>
    </w:r>
    <w:r w:rsidRPr="007150D6">
      <w:rPr>
        <w:rFonts w:ascii="Open Sans" w:hAnsi="Open Sans" w:cs="Open Sans"/>
        <w:color w:val="418FDE"/>
        <w:sz w:val="20"/>
        <w:szCs w:val="20"/>
      </w:rPr>
      <w:t xml:space="preserve"> </w:t>
    </w:r>
    <w:r w:rsidRPr="007150D6">
      <w:rPr>
        <w:rFonts w:ascii="Open Sans" w:hAnsi="Open Sans" w:cs="Open Sans"/>
        <w:color w:val="1C252C"/>
        <w:sz w:val="20"/>
        <w:szCs w:val="20"/>
      </w:rPr>
      <w:t>Plymouth Meeting, PA 19462</w:t>
    </w:r>
  </w:p>
  <w:p w14:paraId="335A1EA6" w14:textId="7E18D8CB" w:rsidR="00927FB4" w:rsidRDefault="00927FB4" w:rsidP="00927FB4">
    <w:pPr>
      <w:pStyle w:val="Header"/>
      <w:jc w:val="right"/>
      <w:rPr>
        <w:rFonts w:ascii="Open Sans" w:hAnsi="Open Sans" w:cs="Open Sans"/>
        <w:color w:val="1C252C"/>
        <w:sz w:val="20"/>
        <w:szCs w:val="20"/>
      </w:rPr>
    </w:pPr>
    <w:r w:rsidRPr="007150D6">
      <w:rPr>
        <w:rFonts w:ascii="Open Sans" w:hAnsi="Open Sans" w:cs="Open Sans"/>
        <w:color w:val="1C252C"/>
        <w:sz w:val="20"/>
        <w:szCs w:val="20"/>
      </w:rPr>
      <w:t xml:space="preserve">215.947.7797 </w:t>
    </w:r>
    <w:r w:rsidRPr="007150D6">
      <w:rPr>
        <w:rFonts w:ascii="Open Sans" w:hAnsi="Open Sans" w:cs="Open Sans"/>
        <w:b/>
        <w:bCs/>
        <w:color w:val="418FDE"/>
        <w:sz w:val="20"/>
        <w:szCs w:val="20"/>
      </w:rPr>
      <w:t>|</w:t>
    </w:r>
    <w:r w:rsidRPr="007150D6">
      <w:rPr>
        <w:rFonts w:ascii="Open Sans" w:hAnsi="Open Sans" w:cs="Open Sans"/>
        <w:color w:val="1C252C"/>
        <w:sz w:val="20"/>
        <w:szCs w:val="20"/>
      </w:rPr>
      <w:t xml:space="preserve"> </w:t>
    </w:r>
    <w:hyperlink r:id="rId2" w:history="1">
      <w:r w:rsidR="00C07D03" w:rsidRPr="002959F5">
        <w:rPr>
          <w:rStyle w:val="Hyperlink"/>
          <w:rFonts w:ascii="Open Sans" w:hAnsi="Open Sans" w:cs="Open Sans"/>
          <w:sz w:val="20"/>
          <w:szCs w:val="20"/>
        </w:rPr>
        <w:t>www.ismp.org</w:t>
      </w:r>
    </w:hyperlink>
  </w:p>
  <w:p w14:paraId="39F052CE" w14:textId="093C8ABE" w:rsidR="00927FB4" w:rsidRDefault="004F13A3">
    <w:pPr>
      <w:pStyle w:val="Header"/>
      <w:rPr>
        <w:rFonts w:ascii="Montserrat" w:hAnsi="Montserrat"/>
        <w:b/>
        <w:bCs/>
        <w:color w:val="418FDE"/>
        <w:sz w:val="44"/>
        <w:szCs w:val="44"/>
      </w:rPr>
    </w:pPr>
    <w:r>
      <w:rPr>
        <w:rFonts w:ascii="Montserrat" w:hAnsi="Montserrat"/>
        <w:b/>
        <w:bCs/>
        <w:color w:val="418FDE"/>
        <w:sz w:val="44"/>
        <w:szCs w:val="44"/>
      </w:rPr>
      <w:t xml:space="preserve"> </w:t>
    </w:r>
    <w:r w:rsidR="00C07D03" w:rsidRPr="00AB60FC">
      <w:rPr>
        <w:rFonts w:ascii="Montserrat" w:hAnsi="Montserrat"/>
        <w:b/>
        <w:bCs/>
        <w:color w:val="418FDE"/>
        <w:sz w:val="44"/>
        <w:szCs w:val="44"/>
      </w:rPr>
      <w:t>NEWS RELEASE</w:t>
    </w:r>
  </w:p>
  <w:p w14:paraId="36F75A20" w14:textId="77777777" w:rsidR="00DC5E14" w:rsidRPr="005B4E7C" w:rsidRDefault="00DC5E14">
    <w:pPr>
      <w:pStyle w:val="Header"/>
      <w:rPr>
        <w:color w:val="418FDE"/>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A69D0"/>
    <w:multiLevelType w:val="hybridMultilevel"/>
    <w:tmpl w:val="E71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4"/>
    <w:rsid w:val="0000512C"/>
    <w:rsid w:val="000951C2"/>
    <w:rsid w:val="000D5D77"/>
    <w:rsid w:val="00107C87"/>
    <w:rsid w:val="001E074F"/>
    <w:rsid w:val="00203C6C"/>
    <w:rsid w:val="0020657B"/>
    <w:rsid w:val="003848EF"/>
    <w:rsid w:val="003C2599"/>
    <w:rsid w:val="003E5B02"/>
    <w:rsid w:val="003F0BB3"/>
    <w:rsid w:val="003F21F5"/>
    <w:rsid w:val="003F42C6"/>
    <w:rsid w:val="004526CD"/>
    <w:rsid w:val="0047646D"/>
    <w:rsid w:val="004A03C8"/>
    <w:rsid w:val="004D562C"/>
    <w:rsid w:val="004F077D"/>
    <w:rsid w:val="004F13A3"/>
    <w:rsid w:val="005418E5"/>
    <w:rsid w:val="005514B9"/>
    <w:rsid w:val="00552443"/>
    <w:rsid w:val="005631BC"/>
    <w:rsid w:val="005870AB"/>
    <w:rsid w:val="005B4E7C"/>
    <w:rsid w:val="00606B12"/>
    <w:rsid w:val="00655215"/>
    <w:rsid w:val="006C2AF9"/>
    <w:rsid w:val="0070630B"/>
    <w:rsid w:val="007150D6"/>
    <w:rsid w:val="007C500C"/>
    <w:rsid w:val="007D3140"/>
    <w:rsid w:val="008D05AA"/>
    <w:rsid w:val="008E1DF1"/>
    <w:rsid w:val="00927FB4"/>
    <w:rsid w:val="0094334A"/>
    <w:rsid w:val="0094400B"/>
    <w:rsid w:val="00993741"/>
    <w:rsid w:val="009B4B91"/>
    <w:rsid w:val="009C237F"/>
    <w:rsid w:val="009F45E6"/>
    <w:rsid w:val="00A73222"/>
    <w:rsid w:val="00A948D1"/>
    <w:rsid w:val="00AA0905"/>
    <w:rsid w:val="00AB60FC"/>
    <w:rsid w:val="00AC07B2"/>
    <w:rsid w:val="00AD6957"/>
    <w:rsid w:val="00AF0E99"/>
    <w:rsid w:val="00AF3490"/>
    <w:rsid w:val="00B01C38"/>
    <w:rsid w:val="00B3734E"/>
    <w:rsid w:val="00B74754"/>
    <w:rsid w:val="00C03A8F"/>
    <w:rsid w:val="00C07D03"/>
    <w:rsid w:val="00C8274E"/>
    <w:rsid w:val="00D50E55"/>
    <w:rsid w:val="00DC5E14"/>
    <w:rsid w:val="00E519BB"/>
    <w:rsid w:val="00F22EF7"/>
    <w:rsid w:val="00F4090A"/>
    <w:rsid w:val="00F70B19"/>
    <w:rsid w:val="1AC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1230"/>
  <w15:chartTrackingRefBased/>
  <w15:docId w15:val="{7F1EC982-E3C4-4423-A5BC-DD31D57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C"/>
    <w:pPr>
      <w:spacing w:after="0" w:line="288" w:lineRule="auto"/>
    </w:pPr>
    <w:rPr>
      <w:rFonts w:ascii="Arial" w:eastAsia="Times" w:hAnsi="Arial" w:cs="Times New Roman"/>
      <w:sz w:val="20"/>
      <w:szCs w:val="20"/>
    </w:rPr>
  </w:style>
  <w:style w:type="paragraph" w:styleId="Heading1">
    <w:name w:val="heading 1"/>
    <w:basedOn w:val="Normal"/>
    <w:next w:val="Normal"/>
    <w:link w:val="Heading1Char"/>
    <w:qFormat/>
    <w:rsid w:val="0000512C"/>
    <w:pPr>
      <w:keepNext/>
      <w:outlineLvl w:val="0"/>
    </w:pPr>
    <w:rPr>
      <w:rFonts w:cs="Arial"/>
      <w:b/>
      <w:color w:val="595959"/>
      <w:sz w:val="24"/>
      <w:szCs w:val="24"/>
    </w:rPr>
  </w:style>
  <w:style w:type="paragraph" w:styleId="Heading2">
    <w:name w:val="heading 2"/>
    <w:basedOn w:val="Normal"/>
    <w:next w:val="Normal"/>
    <w:link w:val="Heading2Char"/>
    <w:uiPriority w:val="9"/>
    <w:unhideWhenUsed/>
    <w:qFormat/>
    <w:rsid w:val="0000512C"/>
    <w:pPr>
      <w:keepNext/>
      <w:keepLines/>
      <w:spacing w:before="360"/>
      <w:outlineLvl w:val="1"/>
    </w:pPr>
    <w:rPr>
      <w:rFonts w:eastAsia="MS Gothic" w:cs="Arial"/>
      <w:b/>
      <w:color w:val="000000"/>
      <w:sz w:val="36"/>
      <w:szCs w:val="36"/>
    </w:rPr>
  </w:style>
  <w:style w:type="paragraph" w:styleId="Heading3">
    <w:name w:val="heading 3"/>
    <w:basedOn w:val="Normal"/>
    <w:next w:val="Normal"/>
    <w:link w:val="Heading3Char"/>
    <w:uiPriority w:val="9"/>
    <w:unhideWhenUsed/>
    <w:qFormat/>
    <w:rsid w:val="004F13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B4"/>
  </w:style>
  <w:style w:type="paragraph" w:styleId="Footer">
    <w:name w:val="footer"/>
    <w:basedOn w:val="Normal"/>
    <w:link w:val="Foot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03"/>
    <w:rPr>
      <w:color w:val="0563C1" w:themeColor="hyperlink"/>
      <w:u w:val="single"/>
    </w:rPr>
  </w:style>
  <w:style w:type="character" w:styleId="UnresolvedMention">
    <w:name w:val="Unresolved Mention"/>
    <w:basedOn w:val="DefaultParagraphFont"/>
    <w:uiPriority w:val="99"/>
    <w:semiHidden/>
    <w:unhideWhenUsed/>
    <w:rsid w:val="00C07D03"/>
    <w:rPr>
      <w:color w:val="605E5C"/>
      <w:shd w:val="clear" w:color="auto" w:fill="E1DFDD"/>
    </w:rPr>
  </w:style>
  <w:style w:type="character" w:customStyle="1" w:styleId="Heading1Char">
    <w:name w:val="Heading 1 Char"/>
    <w:basedOn w:val="DefaultParagraphFont"/>
    <w:link w:val="Heading1"/>
    <w:rsid w:val="0000512C"/>
    <w:rPr>
      <w:rFonts w:ascii="Arial" w:eastAsia="Times" w:hAnsi="Arial" w:cs="Arial"/>
      <w:b/>
      <w:color w:val="595959"/>
      <w:sz w:val="24"/>
      <w:szCs w:val="24"/>
    </w:rPr>
  </w:style>
  <w:style w:type="character" w:customStyle="1" w:styleId="Heading2Char">
    <w:name w:val="Heading 2 Char"/>
    <w:basedOn w:val="DefaultParagraphFont"/>
    <w:link w:val="Heading2"/>
    <w:uiPriority w:val="9"/>
    <w:rsid w:val="0000512C"/>
    <w:rPr>
      <w:rFonts w:ascii="Arial" w:eastAsia="MS Gothic" w:hAnsi="Arial" w:cs="Arial"/>
      <w:b/>
      <w:color w:val="000000"/>
      <w:sz w:val="36"/>
      <w:szCs w:val="36"/>
    </w:rPr>
  </w:style>
  <w:style w:type="paragraph" w:styleId="NormalWeb">
    <w:name w:val="Normal (Web)"/>
    <w:basedOn w:val="Normal"/>
    <w:uiPriority w:val="99"/>
    <w:unhideWhenUsed/>
    <w:rsid w:val="0000512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F13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2AF9"/>
    <w:pPr>
      <w:ind w:left="720"/>
      <w:contextualSpacing/>
    </w:pPr>
  </w:style>
  <w:style w:type="character" w:styleId="FollowedHyperlink">
    <w:name w:val="FollowedHyperlink"/>
    <w:basedOn w:val="DefaultParagraphFont"/>
    <w:uiPriority w:val="99"/>
    <w:semiHidden/>
    <w:unhideWhenUsed/>
    <w:rsid w:val="003C25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mp.org/resources/numerous-wrong-dose-errors-paxlov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a.gov/media/158165/downloa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da.gov/media/155051/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04163D930B9458F8F665361C74DD1" ma:contentTypeVersion="33" ma:contentTypeDescription="Create a new document." ma:contentTypeScope="" ma:versionID="51e9f8f99edee8659b4b5efa77925139">
  <xsd:schema xmlns:xsd="http://www.w3.org/2001/XMLSchema" xmlns:xs="http://www.w3.org/2001/XMLSchema" xmlns:p="http://schemas.microsoft.com/office/2006/metadata/properties" xmlns:ns2="1217a7d6-c15c-4e33-b66a-8f3d981fb01d" xmlns:ns3="801399f7-ec74-4e39-b47e-8b24e1f27e4f" targetNamespace="http://schemas.microsoft.com/office/2006/metadata/properties" ma:root="true" ma:fieldsID="caec9ede89abcc07620bf9df2c6ce327" ns2:_="" ns3:_="">
    <xsd:import namespace="1217a7d6-c15c-4e33-b66a-8f3d981fb01d"/>
    <xsd:import namespace="801399f7-ec74-4e39-b47e-8b24e1f27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7d6-c15c-4e33-b66a-8f3d981fb01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399f7-ec74-4e39-b47e-8b24e1f27e4f"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41345c-586a-43da-97c0-f548b4cf6ae5}" ma:internalName="TaxCatchAll" ma:showField="CatchAllData" ma:web="801399f7-ec74-4e39-b47e-8b24e1f27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399f7-ec74-4e39-b47e-8b24e1f27e4f">
      <UserInfo>
        <DisplayName>ISMP Team Visitors</DisplayName>
        <AccountId>4</AccountId>
        <AccountType/>
      </UserInfo>
    </SharedWithUsers>
    <lcf76f155ced4ddcb4097134ff3c332f xmlns="1217a7d6-c15c-4e33-b66a-8f3d981fb01d">
      <Terms xmlns="http://schemas.microsoft.com/office/infopath/2007/PartnerControls"/>
    </lcf76f155ced4ddcb4097134ff3c332f>
    <TaxCatchAll xmlns="801399f7-ec74-4e39-b47e-8b24e1f27e4f" xsi:nil="true"/>
  </documentManagement>
</p:properties>
</file>

<file path=customXml/itemProps1.xml><?xml version="1.0" encoding="utf-8"?>
<ds:datastoreItem xmlns:ds="http://schemas.openxmlformats.org/officeDocument/2006/customXml" ds:itemID="{85B69FDF-742D-49DC-A95C-67CE4646EAF6}">
  <ds:schemaRefs>
    <ds:schemaRef ds:uri="http://schemas.microsoft.com/sharepoint/v3/contenttype/forms"/>
  </ds:schemaRefs>
</ds:datastoreItem>
</file>

<file path=customXml/itemProps2.xml><?xml version="1.0" encoding="utf-8"?>
<ds:datastoreItem xmlns:ds="http://schemas.openxmlformats.org/officeDocument/2006/customXml" ds:itemID="{FCF8838C-1B0B-42AA-82B5-B98EF756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7a7d6-c15c-4e33-b66a-8f3d981fb01d"/>
    <ds:schemaRef ds:uri="801399f7-ec74-4e39-b47e-8b24e1f2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F155A-E73E-4D4B-861F-EBA79996061E}">
  <ds:schemaRefs>
    <ds:schemaRef ds:uri="http://schemas.microsoft.com/office/2006/metadata/properties"/>
    <ds:schemaRef ds:uri="http://schemas.microsoft.com/office/infopath/2007/PartnerControls"/>
    <ds:schemaRef ds:uri="801399f7-ec74-4e39-b47e-8b24e1f27e4f"/>
    <ds:schemaRef ds:uri="1217a7d6-c15c-4e33-b66a-8f3d981fb01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721</Words>
  <Characters>4110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Jordann Rufo</dc:creator>
  <cp:keywords/>
  <dc:description/>
  <cp:lastModifiedBy>Rufo, Jordann</cp:lastModifiedBy>
  <cp:revision>2</cp:revision>
  <dcterms:created xsi:type="dcterms:W3CDTF">2022-07-07T15:39:00Z</dcterms:created>
  <dcterms:modified xsi:type="dcterms:W3CDTF">2022-07-07T15:39:00Z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0x01010048A04163D930B9458F8F665361C74DD1</vt:lpwstr>
  </property>
  <property fmtid="{D5CDD505-2E9C-101B-9397-08002B2CF9AE}" pid="3" name="MediaServiceImageTags">
    <vt:lpwstr/>
  </property>
  <property fmtid="{D5CDD505-2E9C-101B-9397-08002B2CF9AE}" pid="4" name="_ExtendedDescription">
    <vt:lpwstr/>
  </property>
</Properties>
</file>