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861C" w14:textId="77777777" w:rsidR="00935F81" w:rsidRPr="00743A32" w:rsidRDefault="00935F81" w:rsidP="00935F81">
      <w:pPr>
        <w:pStyle w:val="Title"/>
      </w:pPr>
      <w:r w:rsidRPr="00743A32">
        <w:t>NEWS RELEASE</w:t>
      </w:r>
    </w:p>
    <w:p w14:paraId="6AB0D668" w14:textId="276053CA" w:rsidR="00935F81" w:rsidRPr="000B2D86" w:rsidRDefault="00935F81" w:rsidP="00935F81">
      <w:pPr>
        <w:pStyle w:val="Subtitle"/>
        <w:rPr>
          <w:rFonts w:ascii="Franklin Gothic Book" w:eastAsia="Times New Roman" w:hAnsi="Franklin Gothic Book" w:cs="Times New Roman"/>
          <w:b/>
          <w:color w:val="000000" w:themeColor="text1"/>
          <w:szCs w:val="24"/>
        </w:rPr>
      </w:pPr>
      <w:r w:rsidRPr="00035C62">
        <w:rPr>
          <w:b/>
        </w:rPr>
        <w:t>FOR IMMEDIATE RELEASE</w:t>
      </w:r>
      <w:r>
        <w:tab/>
      </w:r>
      <w:r>
        <w:tab/>
      </w:r>
      <w:r>
        <w:tab/>
      </w:r>
      <w:r>
        <w:tab/>
      </w:r>
      <w:r w:rsidRPr="00035C62">
        <w:rPr>
          <w:b/>
        </w:rPr>
        <w:t>CONTACT:</w:t>
      </w:r>
      <w:r>
        <w:t xml:space="preserve"> Laurie Menyo</w:t>
      </w:r>
      <w:r>
        <w:br/>
        <w:t>April 12, 2022</w:t>
      </w:r>
      <w:r>
        <w:tab/>
      </w:r>
      <w:r>
        <w:tab/>
      </w:r>
      <w:r>
        <w:tab/>
      </w:r>
      <w:r>
        <w:tab/>
      </w:r>
      <w:r>
        <w:tab/>
        <w:t>Director of Strategic Communications</w:t>
      </w:r>
      <w:r>
        <w:br/>
        <w:t xml:space="preserve">                                                                               </w:t>
      </w:r>
      <w:hyperlink r:id="rId5" w:history="1">
        <w:r w:rsidRPr="0022539F">
          <w:rPr>
            <w:rStyle w:val="Hyperlink"/>
          </w:rPr>
          <w:t>lmenyo@ecri.org</w:t>
        </w:r>
      </w:hyperlink>
      <w:r>
        <w:t xml:space="preserve"> | 610.825.6000 x5310    </w:t>
      </w:r>
    </w:p>
    <w:p w14:paraId="347739DA" w14:textId="29CE7A29" w:rsidR="00D45847" w:rsidRPr="001F6C79" w:rsidRDefault="00E55FA1" w:rsidP="00381FF0">
      <w:pPr>
        <w:rPr>
          <w:b/>
          <w:color w:val="000000" w:themeColor="text1"/>
          <w:sz w:val="28"/>
        </w:rPr>
      </w:pPr>
      <w:r>
        <w:rPr>
          <w:b/>
          <w:color w:val="000000" w:themeColor="text1"/>
          <w:sz w:val="28"/>
        </w:rPr>
        <w:t>ECRI and ISMP PUBLIC STATEMENT</w:t>
      </w:r>
      <w:r w:rsidR="00935F81">
        <w:rPr>
          <w:b/>
          <w:color w:val="000000" w:themeColor="text1"/>
          <w:sz w:val="28"/>
        </w:rPr>
        <w:t xml:space="preserve"> | </w:t>
      </w:r>
      <w:r w:rsidR="00D45847" w:rsidRPr="001F6C79">
        <w:rPr>
          <w:b/>
          <w:color w:val="000000" w:themeColor="text1"/>
          <w:sz w:val="28"/>
        </w:rPr>
        <w:t xml:space="preserve">Medication Errors are </w:t>
      </w:r>
      <w:r w:rsidR="00A14432" w:rsidRPr="001F6C79">
        <w:rPr>
          <w:b/>
          <w:color w:val="000000" w:themeColor="text1"/>
          <w:sz w:val="28"/>
        </w:rPr>
        <w:t>Complex</w:t>
      </w:r>
      <w:r w:rsidR="00D45847" w:rsidRPr="001F6C79">
        <w:rPr>
          <w:b/>
          <w:color w:val="000000" w:themeColor="text1"/>
          <w:sz w:val="28"/>
        </w:rPr>
        <w:t>; Criminal Charges Will Not Improve Care</w:t>
      </w:r>
    </w:p>
    <w:p w14:paraId="5CF331FA" w14:textId="77777777" w:rsidR="00D45847" w:rsidRPr="001F6C79" w:rsidRDefault="00D45847" w:rsidP="00381FF0">
      <w:pPr>
        <w:rPr>
          <w:color w:val="000000" w:themeColor="text1"/>
        </w:rPr>
      </w:pPr>
    </w:p>
    <w:p w14:paraId="78D13AD7" w14:textId="079EDDBD" w:rsidR="00246427" w:rsidRPr="001F6C79" w:rsidRDefault="001F6C79" w:rsidP="00381FF0">
      <w:pPr>
        <w:rPr>
          <w:color w:val="000000" w:themeColor="text1"/>
        </w:rPr>
      </w:pPr>
      <w:r w:rsidRPr="001F6C79">
        <w:rPr>
          <w:b/>
          <w:color w:val="000000" w:themeColor="text1"/>
        </w:rPr>
        <w:t>PLYMOUTH MEETING, PA—</w:t>
      </w:r>
      <w:r w:rsidR="00994FA9">
        <w:rPr>
          <w:color w:val="000000" w:themeColor="text1"/>
        </w:rPr>
        <w:t>The</w:t>
      </w:r>
      <w:r w:rsidR="00246427" w:rsidRPr="001F6C79">
        <w:rPr>
          <w:color w:val="000000" w:themeColor="text1"/>
        </w:rPr>
        <w:t xml:space="preserve"> </w:t>
      </w:r>
      <w:r w:rsidR="006B6AAE">
        <w:rPr>
          <w:color w:val="000000" w:themeColor="text1"/>
        </w:rPr>
        <w:t xml:space="preserve">recent </w:t>
      </w:r>
      <w:r w:rsidR="00246427" w:rsidRPr="001F6C79">
        <w:rPr>
          <w:color w:val="000000" w:themeColor="text1"/>
        </w:rPr>
        <w:t xml:space="preserve">criminal conviction of a </w:t>
      </w:r>
      <w:r w:rsidR="00D217C2" w:rsidRPr="001F6C79">
        <w:rPr>
          <w:color w:val="000000" w:themeColor="text1"/>
        </w:rPr>
        <w:t xml:space="preserve">former registered </w:t>
      </w:r>
      <w:r w:rsidR="00246427" w:rsidRPr="001F6C79">
        <w:rPr>
          <w:color w:val="000000" w:themeColor="text1"/>
        </w:rPr>
        <w:t xml:space="preserve">nurse due to </w:t>
      </w:r>
      <w:r w:rsidR="00080943" w:rsidRPr="001F6C79">
        <w:rPr>
          <w:color w:val="000000" w:themeColor="text1"/>
        </w:rPr>
        <w:t>a</w:t>
      </w:r>
      <w:r w:rsidR="00246427" w:rsidRPr="001F6C79">
        <w:rPr>
          <w:color w:val="000000" w:themeColor="text1"/>
        </w:rPr>
        <w:t xml:space="preserve"> fatal medication error </w:t>
      </w:r>
      <w:r w:rsidR="005D6328" w:rsidRPr="001F6C79">
        <w:rPr>
          <w:color w:val="000000" w:themeColor="text1"/>
        </w:rPr>
        <w:t xml:space="preserve">has </w:t>
      </w:r>
      <w:r w:rsidR="006E2CA1" w:rsidRPr="001F6C79">
        <w:rPr>
          <w:color w:val="000000" w:themeColor="text1"/>
        </w:rPr>
        <w:t xml:space="preserve">shaken the </w:t>
      </w:r>
      <w:r w:rsidR="00246427" w:rsidRPr="001F6C79">
        <w:rPr>
          <w:color w:val="000000" w:themeColor="text1"/>
        </w:rPr>
        <w:t xml:space="preserve">healthcare foundation </w:t>
      </w:r>
      <w:r w:rsidR="004E51D0" w:rsidRPr="001F6C79">
        <w:rPr>
          <w:color w:val="000000" w:themeColor="text1"/>
        </w:rPr>
        <w:t>to</w:t>
      </w:r>
      <w:r w:rsidR="00246427" w:rsidRPr="001F6C79">
        <w:rPr>
          <w:color w:val="000000" w:themeColor="text1"/>
        </w:rPr>
        <w:t xml:space="preserve"> its core. </w:t>
      </w:r>
      <w:r w:rsidR="005D6328" w:rsidRPr="001F6C79">
        <w:rPr>
          <w:color w:val="000000" w:themeColor="text1"/>
        </w:rPr>
        <w:t>While t</w:t>
      </w:r>
      <w:r w:rsidR="008D7585" w:rsidRPr="001F6C79">
        <w:rPr>
          <w:color w:val="000000" w:themeColor="text1"/>
        </w:rPr>
        <w:t>h</w:t>
      </w:r>
      <w:r w:rsidR="00246427" w:rsidRPr="001F6C79">
        <w:rPr>
          <w:color w:val="000000" w:themeColor="text1"/>
        </w:rPr>
        <w:t xml:space="preserve">is is not the first time </w:t>
      </w:r>
      <w:r w:rsidR="006E2CA1" w:rsidRPr="001F6C79">
        <w:rPr>
          <w:color w:val="000000" w:themeColor="text1"/>
        </w:rPr>
        <w:t xml:space="preserve">a </w:t>
      </w:r>
      <w:r w:rsidR="00246427" w:rsidRPr="001F6C79">
        <w:rPr>
          <w:color w:val="000000" w:themeColor="text1"/>
        </w:rPr>
        <w:t>patient</w:t>
      </w:r>
      <w:r w:rsidR="006E2CA1" w:rsidRPr="001F6C79">
        <w:rPr>
          <w:color w:val="000000" w:themeColor="text1"/>
        </w:rPr>
        <w:t xml:space="preserve"> has been harmed</w:t>
      </w:r>
      <w:r w:rsidR="00246427" w:rsidRPr="001F6C79">
        <w:rPr>
          <w:color w:val="000000" w:themeColor="text1"/>
        </w:rPr>
        <w:t xml:space="preserve"> from </w:t>
      </w:r>
      <w:r w:rsidR="00B40C55" w:rsidRPr="001F6C79">
        <w:rPr>
          <w:color w:val="000000" w:themeColor="text1"/>
        </w:rPr>
        <w:t xml:space="preserve">a </w:t>
      </w:r>
      <w:r w:rsidR="00246427" w:rsidRPr="001F6C79">
        <w:rPr>
          <w:color w:val="000000" w:themeColor="text1"/>
        </w:rPr>
        <w:t xml:space="preserve">wrong medication or </w:t>
      </w:r>
      <w:r w:rsidR="008D7585" w:rsidRPr="001F6C79">
        <w:rPr>
          <w:color w:val="000000" w:themeColor="text1"/>
        </w:rPr>
        <w:t xml:space="preserve">wrong </w:t>
      </w:r>
      <w:r w:rsidR="00246427" w:rsidRPr="001F6C79">
        <w:rPr>
          <w:color w:val="000000" w:themeColor="text1"/>
        </w:rPr>
        <w:t xml:space="preserve">dose, </w:t>
      </w:r>
      <w:r w:rsidR="008D7585" w:rsidRPr="001F6C79">
        <w:rPr>
          <w:color w:val="000000" w:themeColor="text1"/>
        </w:rPr>
        <w:t>th</w:t>
      </w:r>
      <w:r w:rsidR="006E2CA1" w:rsidRPr="001F6C79">
        <w:rPr>
          <w:color w:val="000000" w:themeColor="text1"/>
        </w:rPr>
        <w:t>is case sets a p</w:t>
      </w:r>
      <w:r w:rsidR="00246427" w:rsidRPr="001F6C79">
        <w:rPr>
          <w:color w:val="000000" w:themeColor="text1"/>
        </w:rPr>
        <w:t>recedent</w:t>
      </w:r>
      <w:r w:rsidR="006E2CA1" w:rsidRPr="001F6C79">
        <w:rPr>
          <w:color w:val="000000" w:themeColor="text1"/>
        </w:rPr>
        <w:t xml:space="preserve"> </w:t>
      </w:r>
      <w:r w:rsidR="00277813">
        <w:rPr>
          <w:color w:val="000000" w:themeColor="text1"/>
        </w:rPr>
        <w:t>that</w:t>
      </w:r>
      <w:r w:rsidR="006E2CA1" w:rsidRPr="001F6C79">
        <w:rPr>
          <w:color w:val="000000" w:themeColor="text1"/>
        </w:rPr>
        <w:t xml:space="preserve"> can </w:t>
      </w:r>
      <w:r w:rsidR="008D7585" w:rsidRPr="001F6C79">
        <w:rPr>
          <w:color w:val="000000" w:themeColor="text1"/>
        </w:rPr>
        <w:t>potential</w:t>
      </w:r>
      <w:r w:rsidR="006E2CA1" w:rsidRPr="001F6C79">
        <w:rPr>
          <w:color w:val="000000" w:themeColor="text1"/>
        </w:rPr>
        <w:t>ly lead to a sh</w:t>
      </w:r>
      <w:r w:rsidR="008D7585" w:rsidRPr="001F6C79">
        <w:rPr>
          <w:color w:val="000000" w:themeColor="text1"/>
        </w:rPr>
        <w:t xml:space="preserve">utdown </w:t>
      </w:r>
      <w:r w:rsidR="006E2CA1" w:rsidRPr="001F6C79">
        <w:rPr>
          <w:color w:val="000000" w:themeColor="text1"/>
        </w:rPr>
        <w:t xml:space="preserve">in </w:t>
      </w:r>
      <w:r w:rsidR="008D7585" w:rsidRPr="001F6C79">
        <w:rPr>
          <w:color w:val="000000" w:themeColor="text1"/>
        </w:rPr>
        <w:t>reporting of adverse events</w:t>
      </w:r>
      <w:r w:rsidR="006E2CA1" w:rsidRPr="001F6C79">
        <w:rPr>
          <w:color w:val="000000" w:themeColor="text1"/>
        </w:rPr>
        <w:t xml:space="preserve">, </w:t>
      </w:r>
      <w:r w:rsidR="008D7585" w:rsidRPr="001F6C79">
        <w:rPr>
          <w:color w:val="000000" w:themeColor="text1"/>
        </w:rPr>
        <w:t>creat</w:t>
      </w:r>
      <w:r w:rsidR="006E2CA1" w:rsidRPr="001F6C79">
        <w:rPr>
          <w:color w:val="000000" w:themeColor="text1"/>
        </w:rPr>
        <w:t>ing</w:t>
      </w:r>
      <w:r w:rsidR="008D7585" w:rsidRPr="001F6C79">
        <w:rPr>
          <w:color w:val="000000" w:themeColor="text1"/>
        </w:rPr>
        <w:t xml:space="preserve"> a cloak of silence rather than a culture of safety.</w:t>
      </w:r>
    </w:p>
    <w:p w14:paraId="0DCB4BBC" w14:textId="77777777" w:rsidR="00246427" w:rsidRPr="00041025" w:rsidRDefault="00246427" w:rsidP="00381FF0">
      <w:pPr>
        <w:rPr>
          <w:color w:val="000000" w:themeColor="text1"/>
        </w:rPr>
      </w:pPr>
    </w:p>
    <w:p w14:paraId="0D75C539" w14:textId="77777777" w:rsidR="00257D7B" w:rsidRDefault="00381FF0" w:rsidP="00D36032">
      <w:pPr>
        <w:rPr>
          <w:color w:val="000000" w:themeColor="text1"/>
        </w:rPr>
      </w:pPr>
      <w:r w:rsidRPr="008B0FD2">
        <w:rPr>
          <w:color w:val="000000" w:themeColor="text1"/>
        </w:rPr>
        <w:t xml:space="preserve">ECRI and </w:t>
      </w:r>
      <w:r w:rsidR="00257D7B" w:rsidRPr="008B0FD2">
        <w:rPr>
          <w:color w:val="000000" w:themeColor="text1"/>
        </w:rPr>
        <w:t xml:space="preserve">the </w:t>
      </w:r>
      <w:r w:rsidRPr="008B0FD2">
        <w:rPr>
          <w:color w:val="000000" w:themeColor="text1"/>
        </w:rPr>
        <w:t>I</w:t>
      </w:r>
      <w:r w:rsidR="0021284F" w:rsidRPr="008B0FD2">
        <w:rPr>
          <w:color w:val="000000" w:themeColor="text1"/>
        </w:rPr>
        <w:t>nstitute for Safe Medication Practices (ISMP)</w:t>
      </w:r>
      <w:r w:rsidRPr="008B0FD2">
        <w:rPr>
          <w:color w:val="000000" w:themeColor="text1"/>
        </w:rPr>
        <w:t xml:space="preserve"> PSO</w:t>
      </w:r>
      <w:r w:rsidR="00257D7B" w:rsidRPr="008B0FD2">
        <w:rPr>
          <w:color w:val="000000" w:themeColor="text1"/>
        </w:rPr>
        <w:t>, the nation’s largest patient safety organization,</w:t>
      </w:r>
      <w:r w:rsidR="004E2F36" w:rsidRPr="008B0FD2">
        <w:rPr>
          <w:color w:val="000000" w:themeColor="text1"/>
        </w:rPr>
        <w:t xml:space="preserve"> </w:t>
      </w:r>
      <w:r w:rsidR="00D36032" w:rsidRPr="008B0FD2">
        <w:rPr>
          <w:color w:val="000000" w:themeColor="text1"/>
        </w:rPr>
        <w:t xml:space="preserve">has worked diligently with healthcare providers </w:t>
      </w:r>
      <w:r w:rsidR="000478D3" w:rsidRPr="008B0FD2">
        <w:rPr>
          <w:color w:val="000000" w:themeColor="text1"/>
        </w:rPr>
        <w:t xml:space="preserve">since 2008 </w:t>
      </w:r>
      <w:r w:rsidR="00D36032" w:rsidRPr="008B0FD2">
        <w:rPr>
          <w:color w:val="000000" w:themeColor="text1"/>
        </w:rPr>
        <w:t xml:space="preserve">to collect and analyze </w:t>
      </w:r>
      <w:r w:rsidR="00293B67" w:rsidRPr="008B0FD2">
        <w:rPr>
          <w:color w:val="000000" w:themeColor="text1"/>
        </w:rPr>
        <w:t xml:space="preserve">medical </w:t>
      </w:r>
      <w:r w:rsidR="00D36032" w:rsidRPr="008B0FD2">
        <w:rPr>
          <w:color w:val="000000" w:themeColor="text1"/>
        </w:rPr>
        <w:t>errors</w:t>
      </w:r>
      <w:r w:rsidR="00D36032" w:rsidRPr="008B0FD2">
        <w:rPr>
          <w:b/>
          <w:color w:val="000000" w:themeColor="text1"/>
        </w:rPr>
        <w:t xml:space="preserve">, </w:t>
      </w:r>
      <w:r w:rsidR="00D36032" w:rsidRPr="008B0FD2">
        <w:rPr>
          <w:color w:val="000000" w:themeColor="text1"/>
        </w:rPr>
        <w:t xml:space="preserve">learn from the </w:t>
      </w:r>
      <w:r w:rsidR="00293B67" w:rsidRPr="008B0FD2">
        <w:rPr>
          <w:color w:val="000000" w:themeColor="text1"/>
        </w:rPr>
        <w:t>errors</w:t>
      </w:r>
      <w:r w:rsidR="00D36032" w:rsidRPr="008B0FD2">
        <w:rPr>
          <w:color w:val="000000" w:themeColor="text1"/>
        </w:rPr>
        <w:t>, and most importantly, share information to help providers prevent future errors.</w:t>
      </w:r>
      <w:r w:rsidR="000478D3" w:rsidRPr="008B0FD2">
        <w:rPr>
          <w:color w:val="000000" w:themeColor="text1"/>
        </w:rPr>
        <w:t xml:space="preserve"> </w:t>
      </w:r>
      <w:r w:rsidR="006B6AAE" w:rsidRPr="008B0FD2">
        <w:rPr>
          <w:color w:val="000000" w:themeColor="text1"/>
        </w:rPr>
        <w:t>We</w:t>
      </w:r>
      <w:r w:rsidR="006B6AAE">
        <w:rPr>
          <w:color w:val="000000" w:themeColor="text1"/>
        </w:rPr>
        <w:t xml:space="preserve"> </w:t>
      </w:r>
      <w:r w:rsidR="00265500">
        <w:rPr>
          <w:color w:val="000000" w:themeColor="text1"/>
        </w:rPr>
        <w:t>fear</w:t>
      </w:r>
      <w:r w:rsidR="006B6AAE">
        <w:rPr>
          <w:color w:val="000000" w:themeColor="text1"/>
        </w:rPr>
        <w:t xml:space="preserve"> that </w:t>
      </w:r>
      <w:r w:rsidR="00293B67">
        <w:rPr>
          <w:color w:val="000000" w:themeColor="text1"/>
        </w:rPr>
        <w:t xml:space="preserve">the recent criminalization of a </w:t>
      </w:r>
      <w:r w:rsidR="00041025">
        <w:rPr>
          <w:color w:val="000000" w:themeColor="text1"/>
        </w:rPr>
        <w:t>health care provider</w:t>
      </w:r>
      <w:r w:rsidR="006B6AAE">
        <w:rPr>
          <w:color w:val="000000" w:themeColor="text1"/>
        </w:rPr>
        <w:t xml:space="preserve"> may stifle </w:t>
      </w:r>
      <w:r w:rsidR="003B58EB">
        <w:rPr>
          <w:color w:val="000000" w:themeColor="text1"/>
        </w:rPr>
        <w:t>open and transparent</w:t>
      </w:r>
      <w:r w:rsidR="00293B67">
        <w:rPr>
          <w:color w:val="000000" w:themeColor="text1"/>
        </w:rPr>
        <w:t xml:space="preserve"> </w:t>
      </w:r>
      <w:r w:rsidR="003B58EB">
        <w:rPr>
          <w:color w:val="000000" w:themeColor="text1"/>
        </w:rPr>
        <w:t xml:space="preserve">learning as </w:t>
      </w:r>
      <w:r w:rsidR="00293B67">
        <w:rPr>
          <w:color w:val="000000" w:themeColor="text1"/>
        </w:rPr>
        <w:t>healthcare prov</w:t>
      </w:r>
      <w:r w:rsidR="003B58EB">
        <w:rPr>
          <w:color w:val="000000" w:themeColor="text1"/>
        </w:rPr>
        <w:t xml:space="preserve">iders </w:t>
      </w:r>
      <w:r w:rsidR="00397001">
        <w:rPr>
          <w:color w:val="000000" w:themeColor="text1"/>
        </w:rPr>
        <w:t xml:space="preserve">weigh the risks of </w:t>
      </w:r>
      <w:r w:rsidR="00535F09">
        <w:rPr>
          <w:color w:val="000000" w:themeColor="text1"/>
        </w:rPr>
        <w:t xml:space="preserve">disclosing an error within their organization or </w:t>
      </w:r>
      <w:r w:rsidR="00397001">
        <w:rPr>
          <w:color w:val="000000" w:themeColor="text1"/>
        </w:rPr>
        <w:t xml:space="preserve">reporting </w:t>
      </w:r>
      <w:r w:rsidR="00535F09">
        <w:rPr>
          <w:color w:val="000000" w:themeColor="text1"/>
        </w:rPr>
        <w:t>an</w:t>
      </w:r>
      <w:r w:rsidR="00397001">
        <w:rPr>
          <w:color w:val="000000" w:themeColor="text1"/>
        </w:rPr>
        <w:t xml:space="preserve"> error</w:t>
      </w:r>
      <w:r w:rsidR="00535F09">
        <w:rPr>
          <w:color w:val="000000" w:themeColor="text1"/>
        </w:rPr>
        <w:t xml:space="preserve"> to a PSO for learning</w:t>
      </w:r>
      <w:r w:rsidR="003B58EB">
        <w:rPr>
          <w:color w:val="000000" w:themeColor="text1"/>
        </w:rPr>
        <w:t>.</w:t>
      </w:r>
      <w:r w:rsidR="007D2B8D">
        <w:rPr>
          <w:color w:val="000000" w:themeColor="text1"/>
        </w:rPr>
        <w:t xml:space="preserve"> </w:t>
      </w:r>
    </w:p>
    <w:p w14:paraId="18412BBD" w14:textId="77777777" w:rsidR="00257D7B" w:rsidRDefault="00257D7B" w:rsidP="00D36032">
      <w:pPr>
        <w:rPr>
          <w:color w:val="000000" w:themeColor="text1"/>
        </w:rPr>
      </w:pPr>
    </w:p>
    <w:p w14:paraId="4B252810" w14:textId="7A1BD181" w:rsidR="00535F09" w:rsidRDefault="00363E7B" w:rsidP="00D36032">
      <w:pPr>
        <w:rPr>
          <w:color w:val="000000" w:themeColor="text1"/>
        </w:rPr>
      </w:pPr>
      <w:r>
        <w:rPr>
          <w:color w:val="000000" w:themeColor="text1"/>
        </w:rPr>
        <w:t>While some may hope that t</w:t>
      </w:r>
      <w:r w:rsidR="007D2B8D">
        <w:rPr>
          <w:color w:val="000000" w:themeColor="text1"/>
        </w:rPr>
        <w:t xml:space="preserve">he conviction of a single individual for an unintended error </w:t>
      </w:r>
      <w:r w:rsidR="00C50157">
        <w:rPr>
          <w:color w:val="000000" w:themeColor="text1"/>
        </w:rPr>
        <w:t>will forcefully incent providers and organizations to do better</w:t>
      </w:r>
      <w:r>
        <w:rPr>
          <w:color w:val="000000" w:themeColor="text1"/>
        </w:rPr>
        <w:t>,</w:t>
      </w:r>
      <w:r w:rsidR="00C50157">
        <w:rPr>
          <w:color w:val="000000" w:themeColor="text1"/>
        </w:rPr>
        <w:t xml:space="preserve"> for the majority of the healthcare community, criminalization of providers could wipe out </w:t>
      </w:r>
      <w:r w:rsidR="006B6AAE">
        <w:rPr>
          <w:color w:val="000000" w:themeColor="text1"/>
        </w:rPr>
        <w:t xml:space="preserve">the </w:t>
      </w:r>
      <w:r w:rsidR="000478D3">
        <w:rPr>
          <w:color w:val="000000" w:themeColor="text1"/>
        </w:rPr>
        <w:t>years of progress</w:t>
      </w:r>
      <w:r w:rsidR="00535F09">
        <w:rPr>
          <w:color w:val="000000" w:themeColor="text1"/>
        </w:rPr>
        <w:t xml:space="preserve"> </w:t>
      </w:r>
      <w:r w:rsidR="006B6AAE">
        <w:rPr>
          <w:color w:val="000000" w:themeColor="text1"/>
        </w:rPr>
        <w:t xml:space="preserve">that </w:t>
      </w:r>
      <w:r w:rsidR="00535F09">
        <w:rPr>
          <w:color w:val="000000" w:themeColor="text1"/>
        </w:rPr>
        <w:t xml:space="preserve">organizations </w:t>
      </w:r>
      <w:r w:rsidR="006B6AAE">
        <w:rPr>
          <w:color w:val="000000" w:themeColor="text1"/>
        </w:rPr>
        <w:t>have made in</w:t>
      </w:r>
      <w:r w:rsidR="00535F09">
        <w:rPr>
          <w:color w:val="000000" w:themeColor="text1"/>
        </w:rPr>
        <w:t xml:space="preserve"> creat</w:t>
      </w:r>
      <w:r w:rsidR="006B6AAE">
        <w:rPr>
          <w:color w:val="000000" w:themeColor="text1"/>
        </w:rPr>
        <w:t>ing</w:t>
      </w:r>
      <w:r w:rsidR="00535F09">
        <w:rPr>
          <w:color w:val="000000" w:themeColor="text1"/>
        </w:rPr>
        <w:t xml:space="preserve"> </w:t>
      </w:r>
      <w:r w:rsidR="00C50157">
        <w:rPr>
          <w:color w:val="000000" w:themeColor="text1"/>
        </w:rPr>
        <w:t xml:space="preserve">a culture of safety and transparency </w:t>
      </w:r>
      <w:r w:rsidR="00535F09">
        <w:rPr>
          <w:color w:val="000000" w:themeColor="text1"/>
        </w:rPr>
        <w:t>to talk about patient safety events and work towards improvements.</w:t>
      </w:r>
    </w:p>
    <w:p w14:paraId="6B7ED390" w14:textId="77777777" w:rsidR="00535F09" w:rsidRDefault="00535F09" w:rsidP="00D36032">
      <w:pPr>
        <w:rPr>
          <w:color w:val="000000" w:themeColor="text1"/>
        </w:rPr>
      </w:pPr>
    </w:p>
    <w:p w14:paraId="7FF1B6D3" w14:textId="43BEEF4A" w:rsidR="001F6C79" w:rsidRPr="001F6C79" w:rsidRDefault="001F6C79" w:rsidP="001F6C79">
      <w:pPr>
        <w:rPr>
          <w:color w:val="000000" w:themeColor="text1"/>
        </w:rPr>
      </w:pPr>
      <w:r w:rsidRPr="001F6C79">
        <w:rPr>
          <w:color w:val="000000" w:themeColor="text1"/>
        </w:rPr>
        <w:t>“We firmly believe that criminalizing providers for unintended harm will hinder rather than improve healthcare in the future,” says Marcus Schabacker, MD, PhD</w:t>
      </w:r>
      <w:r w:rsidR="00257D7B">
        <w:rPr>
          <w:color w:val="000000" w:themeColor="text1"/>
        </w:rPr>
        <w:t>, p</w:t>
      </w:r>
      <w:r w:rsidR="00257D7B" w:rsidRPr="001F6C79">
        <w:rPr>
          <w:color w:val="000000" w:themeColor="text1"/>
        </w:rPr>
        <w:t>resident and CEO</w:t>
      </w:r>
      <w:r w:rsidR="00257D7B">
        <w:rPr>
          <w:color w:val="000000" w:themeColor="text1"/>
        </w:rPr>
        <w:t xml:space="preserve"> of ECRI.</w:t>
      </w:r>
      <w:r w:rsidRPr="001F6C79">
        <w:rPr>
          <w:color w:val="000000" w:themeColor="text1"/>
        </w:rPr>
        <w:t xml:space="preserve"> </w:t>
      </w:r>
    </w:p>
    <w:p w14:paraId="76FFB7AE" w14:textId="77777777" w:rsidR="001F6C79" w:rsidRPr="001F6C79" w:rsidRDefault="001F6C79" w:rsidP="001F6C79">
      <w:pPr>
        <w:rPr>
          <w:color w:val="000000" w:themeColor="text1"/>
        </w:rPr>
      </w:pPr>
    </w:p>
    <w:p w14:paraId="4B36984E" w14:textId="5B21DA8F" w:rsidR="00FA5CB2" w:rsidRPr="001F6C79" w:rsidRDefault="00FA5CB2" w:rsidP="00381FF0">
      <w:pPr>
        <w:rPr>
          <w:color w:val="000000" w:themeColor="text1"/>
        </w:rPr>
      </w:pPr>
      <w:r w:rsidRPr="001F6C79">
        <w:rPr>
          <w:color w:val="000000" w:themeColor="text1"/>
        </w:rPr>
        <w:t>T</w:t>
      </w:r>
      <w:r w:rsidR="00CF7BA7" w:rsidRPr="001F6C79">
        <w:rPr>
          <w:color w:val="000000" w:themeColor="text1"/>
        </w:rPr>
        <w:t>his culture</w:t>
      </w:r>
      <w:r w:rsidRPr="001F6C79">
        <w:rPr>
          <w:color w:val="000000" w:themeColor="text1"/>
        </w:rPr>
        <w:t xml:space="preserve"> of safety,</w:t>
      </w:r>
      <w:r w:rsidR="00CF7BA7" w:rsidRPr="001F6C79">
        <w:rPr>
          <w:color w:val="000000" w:themeColor="text1"/>
        </w:rPr>
        <w:t xml:space="preserve"> and </w:t>
      </w:r>
      <w:r w:rsidRPr="001F6C79">
        <w:rPr>
          <w:color w:val="000000" w:themeColor="text1"/>
        </w:rPr>
        <w:t xml:space="preserve">the </w:t>
      </w:r>
      <w:r w:rsidR="00CF7BA7" w:rsidRPr="001F6C79">
        <w:rPr>
          <w:color w:val="000000" w:themeColor="text1"/>
        </w:rPr>
        <w:t xml:space="preserve">federal legislation that supports patient safety </w:t>
      </w:r>
      <w:r w:rsidR="00AC5820" w:rsidRPr="001F6C79">
        <w:rPr>
          <w:color w:val="000000" w:themeColor="text1"/>
        </w:rPr>
        <w:t>organizations</w:t>
      </w:r>
      <w:r w:rsidRPr="001F6C79">
        <w:rPr>
          <w:color w:val="000000" w:themeColor="text1"/>
        </w:rPr>
        <w:t>,</w:t>
      </w:r>
      <w:r w:rsidR="00AC5820" w:rsidRPr="001F6C79">
        <w:rPr>
          <w:color w:val="000000" w:themeColor="text1"/>
        </w:rPr>
        <w:t xml:space="preserve"> </w:t>
      </w:r>
      <w:r w:rsidRPr="001F6C79">
        <w:rPr>
          <w:color w:val="000000" w:themeColor="text1"/>
        </w:rPr>
        <w:t>motivate</w:t>
      </w:r>
      <w:r w:rsidR="008D7585" w:rsidRPr="001F6C79">
        <w:rPr>
          <w:color w:val="000000" w:themeColor="text1"/>
        </w:rPr>
        <w:t>s</w:t>
      </w:r>
      <w:r w:rsidRPr="001F6C79">
        <w:rPr>
          <w:color w:val="000000" w:themeColor="text1"/>
        </w:rPr>
        <w:t xml:space="preserve"> </w:t>
      </w:r>
      <w:r w:rsidR="00CF7BA7" w:rsidRPr="001F6C79">
        <w:rPr>
          <w:color w:val="000000" w:themeColor="text1"/>
        </w:rPr>
        <w:t xml:space="preserve">providers to voluntarily report </w:t>
      </w:r>
      <w:r w:rsidR="00EA5B65" w:rsidRPr="001F6C79">
        <w:rPr>
          <w:color w:val="000000" w:themeColor="text1"/>
        </w:rPr>
        <w:t>medical errors</w:t>
      </w:r>
      <w:r w:rsidR="00CF7BA7" w:rsidRPr="001F6C79">
        <w:rPr>
          <w:color w:val="000000" w:themeColor="text1"/>
        </w:rPr>
        <w:t xml:space="preserve"> </w:t>
      </w:r>
      <w:r w:rsidR="00EA5B65" w:rsidRPr="001F6C79">
        <w:rPr>
          <w:color w:val="000000" w:themeColor="text1"/>
        </w:rPr>
        <w:t xml:space="preserve">to create </w:t>
      </w:r>
      <w:r w:rsidR="002B1566" w:rsidRPr="001F6C79">
        <w:rPr>
          <w:color w:val="000000" w:themeColor="text1"/>
        </w:rPr>
        <w:t>a</w:t>
      </w:r>
      <w:r w:rsidR="00AC5820" w:rsidRPr="001F6C79">
        <w:rPr>
          <w:color w:val="000000" w:themeColor="text1"/>
        </w:rPr>
        <w:t xml:space="preserve"> national</w:t>
      </w:r>
      <w:r w:rsidR="00894D97" w:rsidRPr="001F6C79">
        <w:rPr>
          <w:color w:val="000000" w:themeColor="text1"/>
        </w:rPr>
        <w:t xml:space="preserve"> community of learning</w:t>
      </w:r>
      <w:r w:rsidR="008B0FD2">
        <w:rPr>
          <w:color w:val="000000" w:themeColor="text1"/>
        </w:rPr>
        <w:t xml:space="preserve">. </w:t>
      </w:r>
      <w:r w:rsidR="0002636D" w:rsidRPr="001F6C79">
        <w:rPr>
          <w:color w:val="000000" w:themeColor="text1"/>
        </w:rPr>
        <w:t>Patients</w:t>
      </w:r>
      <w:r w:rsidR="002B1566" w:rsidRPr="001F6C79">
        <w:rPr>
          <w:color w:val="000000" w:themeColor="text1"/>
        </w:rPr>
        <w:t>, health</w:t>
      </w:r>
      <w:r w:rsidR="0002636D" w:rsidRPr="001F6C79">
        <w:rPr>
          <w:color w:val="000000" w:themeColor="text1"/>
        </w:rPr>
        <w:t xml:space="preserve">care organizations, and providers all benefit from a culture that supports ongoing </w:t>
      </w:r>
      <w:r w:rsidR="00EA5B65" w:rsidRPr="001F6C79">
        <w:rPr>
          <w:color w:val="000000" w:themeColor="text1"/>
        </w:rPr>
        <w:t xml:space="preserve">reporting and </w:t>
      </w:r>
      <w:r w:rsidR="0002636D" w:rsidRPr="001F6C79">
        <w:rPr>
          <w:color w:val="000000" w:themeColor="text1"/>
        </w:rPr>
        <w:t xml:space="preserve">learning. </w:t>
      </w:r>
    </w:p>
    <w:p w14:paraId="087DB930" w14:textId="77777777" w:rsidR="0021284F" w:rsidRPr="001F6C79" w:rsidRDefault="0021284F" w:rsidP="00381FF0">
      <w:pPr>
        <w:rPr>
          <w:color w:val="000000" w:themeColor="text1"/>
        </w:rPr>
      </w:pPr>
    </w:p>
    <w:p w14:paraId="5A36198A" w14:textId="0C27BF97" w:rsidR="00D45847" w:rsidRPr="001F6C79" w:rsidRDefault="006B6AAE" w:rsidP="00381FF0">
      <w:pPr>
        <w:rPr>
          <w:color w:val="000000" w:themeColor="text1"/>
        </w:rPr>
      </w:pPr>
      <w:r>
        <w:rPr>
          <w:color w:val="000000" w:themeColor="text1"/>
        </w:rPr>
        <w:t>In effect, c</w:t>
      </w:r>
      <w:r w:rsidR="0021284F" w:rsidRPr="001F6C79">
        <w:rPr>
          <w:color w:val="000000" w:themeColor="text1"/>
        </w:rPr>
        <w:t xml:space="preserve">riminalizing clinicians </w:t>
      </w:r>
      <w:r w:rsidR="0002636D" w:rsidRPr="001F6C79">
        <w:rPr>
          <w:color w:val="000000" w:themeColor="text1"/>
        </w:rPr>
        <w:t>will</w:t>
      </w:r>
      <w:r w:rsidR="0021284F" w:rsidRPr="001F6C79">
        <w:rPr>
          <w:color w:val="000000" w:themeColor="text1"/>
        </w:rPr>
        <w:t xml:space="preserve"> </w:t>
      </w:r>
      <w:r w:rsidR="0002636D" w:rsidRPr="001F6C79">
        <w:rPr>
          <w:color w:val="000000" w:themeColor="text1"/>
        </w:rPr>
        <w:t>eliminat</w:t>
      </w:r>
      <w:r>
        <w:rPr>
          <w:color w:val="000000" w:themeColor="text1"/>
        </w:rPr>
        <w:t>e</w:t>
      </w:r>
      <w:r w:rsidR="0002636D" w:rsidRPr="001F6C79">
        <w:rPr>
          <w:color w:val="000000" w:themeColor="text1"/>
        </w:rPr>
        <w:t xml:space="preserve"> the open dialogue</w:t>
      </w:r>
      <w:r w:rsidR="004A3774" w:rsidRPr="001F6C79">
        <w:rPr>
          <w:color w:val="000000" w:themeColor="text1"/>
        </w:rPr>
        <w:t xml:space="preserve"> that </w:t>
      </w:r>
      <w:r w:rsidR="00BD7C19" w:rsidRPr="001F6C79">
        <w:rPr>
          <w:color w:val="000000" w:themeColor="text1"/>
        </w:rPr>
        <w:t xml:space="preserve">is </w:t>
      </w:r>
      <w:r w:rsidR="004A3774" w:rsidRPr="001F6C79">
        <w:rPr>
          <w:color w:val="000000" w:themeColor="text1"/>
        </w:rPr>
        <w:t>need</w:t>
      </w:r>
      <w:r w:rsidR="00BD7C19" w:rsidRPr="001F6C79">
        <w:rPr>
          <w:color w:val="000000" w:themeColor="text1"/>
        </w:rPr>
        <w:t>ed</w:t>
      </w:r>
      <w:r w:rsidR="0002636D" w:rsidRPr="001F6C79">
        <w:rPr>
          <w:color w:val="000000" w:themeColor="text1"/>
        </w:rPr>
        <w:t xml:space="preserve"> </w:t>
      </w:r>
      <w:r w:rsidR="004A3774" w:rsidRPr="001F6C79">
        <w:rPr>
          <w:color w:val="000000" w:themeColor="text1"/>
        </w:rPr>
        <w:t xml:space="preserve">to </w:t>
      </w:r>
      <w:r w:rsidR="00BD7C19" w:rsidRPr="001F6C79">
        <w:rPr>
          <w:color w:val="000000" w:themeColor="text1"/>
        </w:rPr>
        <w:t>understand the root cause</w:t>
      </w:r>
      <w:r w:rsidR="00F6572E" w:rsidRPr="001F6C79">
        <w:rPr>
          <w:color w:val="000000" w:themeColor="text1"/>
        </w:rPr>
        <w:t>s</w:t>
      </w:r>
      <w:r w:rsidR="00BD7C19" w:rsidRPr="001F6C79">
        <w:rPr>
          <w:color w:val="000000" w:themeColor="text1"/>
        </w:rPr>
        <w:t xml:space="preserve"> of</w:t>
      </w:r>
      <w:r w:rsidR="004A3774" w:rsidRPr="001F6C79">
        <w:rPr>
          <w:color w:val="000000" w:themeColor="text1"/>
        </w:rPr>
        <w:t xml:space="preserve"> errors and </w:t>
      </w:r>
      <w:r w:rsidR="00FA544C" w:rsidRPr="001F6C79">
        <w:rPr>
          <w:color w:val="000000" w:themeColor="text1"/>
        </w:rPr>
        <w:t>apply solutions to those problems.</w:t>
      </w:r>
      <w:r w:rsidR="00FA5CB2" w:rsidRPr="001F6C79">
        <w:rPr>
          <w:color w:val="000000" w:themeColor="text1"/>
        </w:rPr>
        <w:t xml:space="preserve"> </w:t>
      </w:r>
      <w:r w:rsidR="00FA544C" w:rsidRPr="001F6C79">
        <w:rPr>
          <w:color w:val="000000" w:themeColor="text1"/>
        </w:rPr>
        <w:t xml:space="preserve">Prosecuting even one provider ultimately punishes </w:t>
      </w:r>
      <w:r w:rsidR="001F6C79" w:rsidRPr="001F6C79">
        <w:rPr>
          <w:color w:val="000000" w:themeColor="text1"/>
        </w:rPr>
        <w:t>all</w:t>
      </w:r>
      <w:r w:rsidR="002B1566" w:rsidRPr="001F6C79">
        <w:rPr>
          <w:color w:val="000000" w:themeColor="text1"/>
        </w:rPr>
        <w:t xml:space="preserve"> </w:t>
      </w:r>
      <w:r w:rsidR="00FA544C" w:rsidRPr="001F6C79">
        <w:rPr>
          <w:color w:val="000000" w:themeColor="text1"/>
        </w:rPr>
        <w:t>providers and patients by driving patient safety efforts underground</w:t>
      </w:r>
      <w:r w:rsidR="00DD7D28" w:rsidRPr="001F6C79">
        <w:rPr>
          <w:color w:val="000000" w:themeColor="text1"/>
        </w:rPr>
        <w:t xml:space="preserve"> and reversing years of progress to bring patient safety to the forefront.</w:t>
      </w:r>
    </w:p>
    <w:p w14:paraId="687E9853" w14:textId="77777777" w:rsidR="004D12EA" w:rsidRPr="001F6C79" w:rsidRDefault="004D12EA" w:rsidP="00381FF0">
      <w:pPr>
        <w:rPr>
          <w:color w:val="000000" w:themeColor="text1"/>
        </w:rPr>
      </w:pPr>
    </w:p>
    <w:p w14:paraId="5BA69625" w14:textId="77777777" w:rsidR="0021284F" w:rsidRPr="001F6C79" w:rsidRDefault="0021284F" w:rsidP="0021284F">
      <w:pPr>
        <w:rPr>
          <w:color w:val="000000" w:themeColor="text1"/>
        </w:rPr>
      </w:pPr>
      <w:r w:rsidRPr="001F6C79">
        <w:rPr>
          <w:color w:val="000000" w:themeColor="text1"/>
        </w:rPr>
        <w:t>“While our legal system allows for the criminalization of human error even in the absence of any intent to cause harm, ISMP, along with other professional and patient safety organizations, believe the criminal charges and the guilty verdict set a dangerous precedent and have worrisome implications for safety, particularly for one of the key pillars of a culture of safety—reporting of medical errors,” says Rita K. Jew, PharmD, MBA, BCPPS, FASHP, president of ISMP.</w:t>
      </w:r>
    </w:p>
    <w:p w14:paraId="20DAFC29" w14:textId="77777777" w:rsidR="0021284F" w:rsidRPr="001F6C79" w:rsidRDefault="0021284F" w:rsidP="00381FF0">
      <w:pPr>
        <w:rPr>
          <w:color w:val="000000" w:themeColor="text1"/>
        </w:rPr>
      </w:pPr>
    </w:p>
    <w:p w14:paraId="0C0867E5" w14:textId="3458FE94" w:rsidR="00D217C2" w:rsidRDefault="004D12EA" w:rsidP="00381FF0">
      <w:pPr>
        <w:rPr>
          <w:color w:val="000000" w:themeColor="text1"/>
        </w:rPr>
      </w:pPr>
      <w:r w:rsidRPr="001F6C79">
        <w:rPr>
          <w:color w:val="000000" w:themeColor="text1"/>
        </w:rPr>
        <w:lastRenderedPageBreak/>
        <w:t>To learn more</w:t>
      </w:r>
      <w:r w:rsidR="00265500">
        <w:rPr>
          <w:color w:val="000000" w:themeColor="text1"/>
        </w:rPr>
        <w:t>,</w:t>
      </w:r>
      <w:r w:rsidRPr="001F6C79">
        <w:rPr>
          <w:color w:val="000000" w:themeColor="text1"/>
        </w:rPr>
        <w:t xml:space="preserve"> </w:t>
      </w:r>
      <w:r w:rsidR="00074570" w:rsidRPr="001F6C79">
        <w:rPr>
          <w:color w:val="000000" w:themeColor="text1"/>
        </w:rPr>
        <w:t xml:space="preserve">we invite you to </w:t>
      </w:r>
      <w:r w:rsidRPr="001F6C79">
        <w:rPr>
          <w:color w:val="000000" w:themeColor="text1"/>
        </w:rPr>
        <w:t xml:space="preserve">read </w:t>
      </w:r>
      <w:r w:rsidR="00074570" w:rsidRPr="001F6C79">
        <w:rPr>
          <w:color w:val="000000" w:themeColor="text1"/>
        </w:rPr>
        <w:t>in-depth coverage and analysis in the ISMP Medication Safety Alert!®</w:t>
      </w:r>
      <w:r w:rsidR="00C672B2" w:rsidRPr="001F6C79">
        <w:rPr>
          <w:color w:val="000000" w:themeColor="text1"/>
        </w:rPr>
        <w:t xml:space="preserve"> </w:t>
      </w:r>
      <w:r w:rsidR="001F6C79" w:rsidRPr="001F6C79">
        <w:rPr>
          <w:color w:val="000000" w:themeColor="text1"/>
        </w:rPr>
        <w:t>newsletter article</w:t>
      </w:r>
      <w:r w:rsidR="00C672B2" w:rsidRPr="001F6C79">
        <w:rPr>
          <w:color w:val="000000" w:themeColor="text1"/>
        </w:rPr>
        <w:t xml:space="preserve"> </w:t>
      </w:r>
      <w:hyperlink r:id="rId6" w:history="1">
        <w:r w:rsidR="00C672B2" w:rsidRPr="001F6C79">
          <w:rPr>
            <w:rStyle w:val="Hyperlink"/>
            <w:color w:val="000000" w:themeColor="text1"/>
          </w:rPr>
          <w:t xml:space="preserve">Criminalization of Human Error and </w:t>
        </w:r>
        <w:r w:rsidR="001F6C79" w:rsidRPr="001F6C79">
          <w:rPr>
            <w:rStyle w:val="Hyperlink"/>
            <w:color w:val="000000" w:themeColor="text1"/>
          </w:rPr>
          <w:t xml:space="preserve">A </w:t>
        </w:r>
        <w:r w:rsidR="00C672B2" w:rsidRPr="001F6C79">
          <w:rPr>
            <w:rStyle w:val="Hyperlink"/>
            <w:color w:val="000000" w:themeColor="text1"/>
          </w:rPr>
          <w:t>Guilty Verdict</w:t>
        </w:r>
        <w:r w:rsidR="001F6C79" w:rsidRPr="001F6C79">
          <w:rPr>
            <w:rStyle w:val="Hyperlink"/>
            <w:color w:val="000000" w:themeColor="text1"/>
          </w:rPr>
          <w:t xml:space="preserve">: A </w:t>
        </w:r>
        <w:r w:rsidR="00C672B2" w:rsidRPr="001F6C79">
          <w:rPr>
            <w:rStyle w:val="Hyperlink"/>
            <w:color w:val="000000" w:themeColor="text1"/>
          </w:rPr>
          <w:t>Travest</w:t>
        </w:r>
        <w:r w:rsidR="001F6C79" w:rsidRPr="001F6C79">
          <w:rPr>
            <w:rStyle w:val="Hyperlink"/>
            <w:color w:val="000000" w:themeColor="text1"/>
          </w:rPr>
          <w:t>y of Justice</w:t>
        </w:r>
        <w:r w:rsidR="00C672B2" w:rsidRPr="001F6C79">
          <w:rPr>
            <w:rStyle w:val="Hyperlink"/>
            <w:color w:val="000000" w:themeColor="text1"/>
          </w:rPr>
          <w:t xml:space="preserve"> that Threatens Patient Safety</w:t>
        </w:r>
      </w:hyperlink>
      <w:r w:rsidR="00C672B2" w:rsidRPr="001F6C79">
        <w:rPr>
          <w:color w:val="000000" w:themeColor="text1"/>
        </w:rPr>
        <w:t xml:space="preserve">. </w:t>
      </w:r>
      <w:r w:rsidR="00D217C2" w:rsidRPr="001F6C79">
        <w:rPr>
          <w:color w:val="000000" w:themeColor="text1"/>
        </w:rPr>
        <w:t xml:space="preserve"> A list of ISMP and other resources on preventing errors with neuromuscular blockers and automated dispensing cabinets is </w:t>
      </w:r>
      <w:hyperlink r:id="rId7" w:history="1">
        <w:r w:rsidR="00D217C2" w:rsidRPr="001F6C79">
          <w:rPr>
            <w:rStyle w:val="Hyperlink"/>
            <w:color w:val="000000" w:themeColor="text1"/>
          </w:rPr>
          <w:t>available at</w:t>
        </w:r>
        <w:r w:rsidR="001F6C79" w:rsidRPr="001F6C79">
          <w:rPr>
            <w:rStyle w:val="Hyperlink"/>
            <w:color w:val="000000" w:themeColor="text1"/>
          </w:rPr>
          <w:t xml:space="preserve"> this link</w:t>
        </w:r>
      </w:hyperlink>
      <w:r w:rsidR="001F6C79" w:rsidRPr="001F6C79">
        <w:rPr>
          <w:color w:val="000000" w:themeColor="text1"/>
        </w:rPr>
        <w:t xml:space="preserve"> on the website. </w:t>
      </w:r>
    </w:p>
    <w:p w14:paraId="39867C1B" w14:textId="77777777" w:rsidR="0018177E" w:rsidRDefault="0018177E" w:rsidP="00381FF0">
      <w:pPr>
        <w:rPr>
          <w:color w:val="000000" w:themeColor="text1"/>
        </w:rPr>
      </w:pPr>
    </w:p>
    <w:p w14:paraId="7753EF52" w14:textId="77777777" w:rsidR="0018177E" w:rsidRPr="001F6C79" w:rsidRDefault="0018177E" w:rsidP="00381FF0">
      <w:pPr>
        <w:rPr>
          <w:color w:val="000000" w:themeColor="text1"/>
        </w:rPr>
      </w:pPr>
      <w:r>
        <w:rPr>
          <w:color w:val="000000" w:themeColor="text1"/>
        </w:rPr>
        <w:t xml:space="preserve">                                                                               # # # </w:t>
      </w:r>
    </w:p>
    <w:p w14:paraId="6A1122FC" w14:textId="77777777" w:rsidR="004D12EA" w:rsidRPr="003507A3" w:rsidRDefault="00994FA9" w:rsidP="00994FA9">
      <w:pPr>
        <w:spacing w:line="276" w:lineRule="auto"/>
        <w:rPr>
          <w:rFonts w:asciiTheme="minorHAnsi" w:hAnsiTheme="minorHAnsi" w:cstheme="minorHAnsi"/>
          <w:b/>
          <w:sz w:val="28"/>
        </w:rPr>
      </w:pPr>
      <w:r w:rsidRPr="003507A3">
        <w:rPr>
          <w:rFonts w:asciiTheme="minorHAnsi" w:hAnsiTheme="minorHAnsi" w:cstheme="minorHAnsi"/>
          <w:b/>
          <w:sz w:val="28"/>
        </w:rPr>
        <w:t>Social Sharing</w:t>
      </w:r>
    </w:p>
    <w:p w14:paraId="2E7803AD" w14:textId="77777777" w:rsidR="00994FA9" w:rsidRPr="003507A3" w:rsidRDefault="003507A3" w:rsidP="003507A3">
      <w:pPr>
        <w:pStyle w:val="ListParagraph"/>
        <w:numPr>
          <w:ilvl w:val="0"/>
          <w:numId w:val="1"/>
        </w:numPr>
        <w:rPr>
          <w:rFonts w:asciiTheme="minorHAnsi" w:hAnsiTheme="minorHAnsi" w:cstheme="minorHAnsi"/>
          <w:color w:val="000000" w:themeColor="text1"/>
        </w:rPr>
      </w:pPr>
      <w:r w:rsidRPr="003507A3">
        <w:rPr>
          <w:rFonts w:asciiTheme="minorHAnsi" w:hAnsiTheme="minorHAnsi" w:cstheme="minorHAnsi"/>
          <w:color w:val="000000" w:themeColor="text1"/>
        </w:rPr>
        <w:t>@ECRI_Org @ISMP_Org speak out against criminal conviction of nurse involved in fatal medication error</w:t>
      </w:r>
    </w:p>
    <w:p w14:paraId="4D31CD6D" w14:textId="77777777" w:rsidR="003507A3" w:rsidRPr="003507A3" w:rsidRDefault="003507A3" w:rsidP="003507A3">
      <w:pPr>
        <w:pStyle w:val="ListParagraph"/>
        <w:numPr>
          <w:ilvl w:val="0"/>
          <w:numId w:val="1"/>
        </w:numPr>
        <w:rPr>
          <w:rFonts w:asciiTheme="minorHAnsi" w:hAnsiTheme="minorHAnsi" w:cstheme="minorHAnsi"/>
          <w:color w:val="000000" w:themeColor="text1"/>
        </w:rPr>
      </w:pPr>
      <w:r w:rsidRPr="003507A3">
        <w:rPr>
          <w:rFonts w:asciiTheme="minorHAnsi" w:hAnsiTheme="minorHAnsi" w:cstheme="minorHAnsi"/>
          <w:color w:val="000000" w:themeColor="text1"/>
        </w:rPr>
        <w:t>Criminalizing fatal medication error poses threats to patient safety says @ECRI_Org @ISMP_Org in public statement</w:t>
      </w:r>
    </w:p>
    <w:p w14:paraId="0AA2B6AD" w14:textId="77777777" w:rsidR="00994FA9" w:rsidRDefault="00994FA9" w:rsidP="00381FF0">
      <w:pPr>
        <w:rPr>
          <w:color w:val="000000" w:themeColor="text1"/>
        </w:rPr>
      </w:pPr>
    </w:p>
    <w:p w14:paraId="1F46C9CA" w14:textId="77777777" w:rsidR="00994FA9" w:rsidRDefault="00994FA9" w:rsidP="00381FF0">
      <w:pPr>
        <w:rPr>
          <w:color w:val="000000" w:themeColor="text1"/>
        </w:rPr>
      </w:pPr>
    </w:p>
    <w:p w14:paraId="79B81409" w14:textId="77777777" w:rsidR="00994FA9" w:rsidRPr="003507A3" w:rsidRDefault="00994FA9" w:rsidP="00994FA9">
      <w:pPr>
        <w:spacing w:line="276" w:lineRule="auto"/>
        <w:rPr>
          <w:rFonts w:asciiTheme="minorHAnsi" w:hAnsiTheme="minorHAnsi" w:cstheme="minorHAnsi"/>
          <w:b/>
          <w:sz w:val="28"/>
        </w:rPr>
      </w:pPr>
      <w:r w:rsidRPr="003507A3">
        <w:rPr>
          <w:rFonts w:asciiTheme="minorHAnsi" w:hAnsiTheme="minorHAnsi" w:cstheme="minorHAnsi"/>
          <w:b/>
          <w:sz w:val="28"/>
        </w:rPr>
        <w:t>About ECRI</w:t>
      </w:r>
    </w:p>
    <w:p w14:paraId="25E58C51" w14:textId="77777777" w:rsidR="00994FA9" w:rsidRPr="003507A3" w:rsidRDefault="00994FA9" w:rsidP="00994FA9">
      <w:pPr>
        <w:rPr>
          <w:rFonts w:asciiTheme="minorHAnsi" w:hAnsiTheme="minorHAnsi" w:cstheme="minorHAnsi"/>
          <w:sz w:val="20"/>
        </w:rPr>
      </w:pPr>
      <w:r w:rsidRPr="003507A3">
        <w:rPr>
          <w:rFonts w:asciiTheme="minorHAnsi" w:hAnsiTheme="minorHAnsi" w:cstheme="minorHAnsi"/>
          <w:sz w:val="20"/>
        </w:rPr>
        <w:t>ECRI is an independent, nonprofit organization improving the safety, quality, and cost-effectiveness of care across all healthcare settings. With a focus on patient safety, evidence-based medicine, and health technology decision solutions, ECRI is respected and trusted by healthcare leaders and agencies worldwide. Over the past fifty years, ECRI has built its reputation on integrity and disciplined rigor, with an unwavering commitment to independence and strict conflict-of-interest rules.</w:t>
      </w:r>
    </w:p>
    <w:p w14:paraId="7244BA64" w14:textId="77777777" w:rsidR="00994FA9" w:rsidRPr="003507A3" w:rsidRDefault="00994FA9" w:rsidP="00994FA9">
      <w:pPr>
        <w:rPr>
          <w:rFonts w:asciiTheme="minorHAnsi" w:hAnsiTheme="minorHAnsi" w:cstheme="minorHAnsi"/>
          <w:sz w:val="20"/>
        </w:rPr>
      </w:pPr>
    </w:p>
    <w:p w14:paraId="51AF8CA8" w14:textId="77777777" w:rsidR="00994FA9" w:rsidRPr="003507A3" w:rsidRDefault="00994FA9" w:rsidP="00994FA9">
      <w:pPr>
        <w:rPr>
          <w:rFonts w:asciiTheme="minorHAnsi" w:hAnsiTheme="minorHAnsi" w:cstheme="minorHAnsi"/>
          <w:sz w:val="20"/>
        </w:rPr>
      </w:pPr>
      <w:r w:rsidRPr="003507A3">
        <w:rPr>
          <w:rFonts w:asciiTheme="minorHAnsi" w:hAnsiTheme="minorHAnsi" w:cstheme="minorHAnsi"/>
          <w:sz w:val="20"/>
        </w:rPr>
        <w:t>ECRI is the only organization worldwide to conduct independent medical device evaluations, with labs located in North America and Asia Pacific. ECRI is designated an Evidence-based Practice Center by the U.S. Agency for Healthcare Research and Quality. ECRI and the Institute for Safe Medication Practices PSO is a federally certified Patient Safety Organization as designated by the U.S. Department of Health and Human Services. The Institute for Safe Medication Practices (ISMP) formally became an ECRI Affiliate in 2020. Marcus Schabacker, MD, PhD, President and CEO of ECRI, has been recognized by the Philadelphia Business Journal as a Healthcare Leader in 2021. Visit www.ecri.org and follow @ECRI_Org.</w:t>
      </w:r>
    </w:p>
    <w:p w14:paraId="56B3EC76" w14:textId="77777777" w:rsidR="00994FA9" w:rsidRPr="003507A3" w:rsidRDefault="00994FA9" w:rsidP="00381FF0">
      <w:pPr>
        <w:rPr>
          <w:rFonts w:asciiTheme="minorHAnsi" w:hAnsiTheme="minorHAnsi" w:cstheme="minorHAnsi"/>
          <w:color w:val="000000" w:themeColor="text1"/>
        </w:rPr>
      </w:pPr>
    </w:p>
    <w:p w14:paraId="4F834621" w14:textId="77777777" w:rsidR="003507A3" w:rsidRPr="003507A3" w:rsidRDefault="003507A3" w:rsidP="003507A3">
      <w:pPr>
        <w:pStyle w:val="NormalWeb"/>
        <w:spacing w:after="0" w:afterAutospacing="0"/>
        <w:rPr>
          <w:rFonts w:asciiTheme="minorHAnsi" w:hAnsiTheme="minorHAnsi" w:cstheme="minorHAnsi"/>
          <w:color w:val="222222"/>
          <w:sz w:val="28"/>
          <w:szCs w:val="22"/>
        </w:rPr>
      </w:pPr>
      <w:r w:rsidRPr="003507A3">
        <w:rPr>
          <w:rFonts w:asciiTheme="minorHAnsi" w:hAnsiTheme="minorHAnsi" w:cstheme="minorHAnsi"/>
          <w:b/>
          <w:bCs/>
          <w:color w:val="000000"/>
          <w:spacing w:val="2"/>
          <w:sz w:val="28"/>
          <w:szCs w:val="22"/>
          <w:shd w:val="clear" w:color="auto" w:fill="FFFFFF"/>
        </w:rPr>
        <w:t>About the Institute for Safe Medication Practices</w:t>
      </w:r>
    </w:p>
    <w:p w14:paraId="7A2642F7" w14:textId="77777777" w:rsidR="003507A3" w:rsidRPr="003507A3" w:rsidRDefault="003507A3" w:rsidP="003507A3">
      <w:pPr>
        <w:pStyle w:val="NormalWeb"/>
        <w:shd w:val="clear" w:color="auto" w:fill="FFFFFF"/>
        <w:spacing w:before="0" w:beforeAutospacing="0" w:after="0" w:afterAutospacing="0"/>
        <w:rPr>
          <w:rFonts w:asciiTheme="minorHAnsi" w:eastAsiaTheme="minorHAnsi" w:hAnsiTheme="minorHAnsi" w:cstheme="minorHAnsi"/>
          <w:sz w:val="20"/>
          <w:szCs w:val="22"/>
        </w:rPr>
      </w:pPr>
      <w:r w:rsidRPr="003507A3">
        <w:rPr>
          <w:rFonts w:asciiTheme="minorHAnsi" w:eastAsiaTheme="minorHAnsi" w:hAnsiTheme="minorHAnsi" w:cstheme="minorHAnsi"/>
          <w:sz w:val="20"/>
          <w:szCs w:val="22"/>
        </w:rPr>
        <w:t xml:space="preserve">The Institute for Safe Medication Practices (ISMP) is the only 501c (3) nonprofit organization devoted entirely to preventing medication errors. ISMP is known and respected as the gold standard for medication safety information. For more than 30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institutions in the world. As a watchdog organization, ISMP receives no advertising revenue and depends entirely on charitable donations, educational grants, newsletter subscriptions, and volunteer efforts to pursue its life-saving work. </w:t>
      </w:r>
      <w:r w:rsidRPr="003507A3">
        <w:rPr>
          <w:rFonts w:asciiTheme="minorHAnsi" w:eastAsiaTheme="minorHAnsi" w:hAnsiTheme="minorHAnsi" w:cstheme="minorHAnsi"/>
          <w:sz w:val="20"/>
          <w:szCs w:val="20"/>
        </w:rPr>
        <w:t xml:space="preserve">Learn more at </w:t>
      </w:r>
      <w:hyperlink r:id="rId8" w:history="1">
        <w:r w:rsidRPr="003507A3">
          <w:rPr>
            <w:rFonts w:asciiTheme="minorHAnsi" w:eastAsiaTheme="minorHAnsi" w:hAnsiTheme="minorHAnsi" w:cstheme="minorHAnsi"/>
            <w:sz w:val="20"/>
            <w:szCs w:val="20"/>
          </w:rPr>
          <w:t>www.ismp.org</w:t>
        </w:r>
      </w:hyperlink>
      <w:r w:rsidRPr="003507A3">
        <w:rPr>
          <w:rFonts w:asciiTheme="minorHAnsi" w:eastAsiaTheme="minorHAnsi" w:hAnsiTheme="minorHAnsi" w:cstheme="minorHAnsi"/>
          <w:sz w:val="20"/>
          <w:szCs w:val="20"/>
        </w:rPr>
        <w:t>.</w:t>
      </w:r>
      <w:r w:rsidRPr="003507A3">
        <w:rPr>
          <w:rFonts w:asciiTheme="minorHAnsi" w:eastAsiaTheme="minorHAnsi" w:hAnsiTheme="minorHAnsi" w:cstheme="minorHAnsi"/>
          <w:sz w:val="20"/>
          <w:szCs w:val="22"/>
        </w:rPr>
        <w:t> </w:t>
      </w:r>
    </w:p>
    <w:p w14:paraId="28E3FBE9" w14:textId="77777777" w:rsidR="00994FA9" w:rsidRPr="003507A3" w:rsidRDefault="00994FA9" w:rsidP="003507A3">
      <w:pPr>
        <w:rPr>
          <w:rFonts w:asciiTheme="minorHAnsi" w:hAnsiTheme="minorHAnsi" w:cstheme="minorHAnsi"/>
          <w:sz w:val="20"/>
        </w:rPr>
      </w:pPr>
    </w:p>
    <w:sectPr w:rsidR="00994FA9" w:rsidRPr="003507A3" w:rsidSect="005F0EB7">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Source Sans Pro">
    <w:altName w:val="Cambria Math"/>
    <w:charset w:val="00"/>
    <w:family w:val="swiss"/>
    <w:pitch w:val="variable"/>
    <w:sig w:usb0="600002F7"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B2694"/>
    <w:multiLevelType w:val="hybridMultilevel"/>
    <w:tmpl w:val="5234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F0"/>
    <w:rsid w:val="0002636D"/>
    <w:rsid w:val="0003228A"/>
    <w:rsid w:val="00041025"/>
    <w:rsid w:val="000478D3"/>
    <w:rsid w:val="00074570"/>
    <w:rsid w:val="00080943"/>
    <w:rsid w:val="000E2B70"/>
    <w:rsid w:val="00125385"/>
    <w:rsid w:val="0018177E"/>
    <w:rsid w:val="001F6C79"/>
    <w:rsid w:val="0021284F"/>
    <w:rsid w:val="00246427"/>
    <w:rsid w:val="00257D7B"/>
    <w:rsid w:val="00265500"/>
    <w:rsid w:val="00277813"/>
    <w:rsid w:val="002926AA"/>
    <w:rsid w:val="00293B67"/>
    <w:rsid w:val="002B1566"/>
    <w:rsid w:val="003507A3"/>
    <w:rsid w:val="00363E7B"/>
    <w:rsid w:val="00381FF0"/>
    <w:rsid w:val="00397001"/>
    <w:rsid w:val="003B58EB"/>
    <w:rsid w:val="003E39C8"/>
    <w:rsid w:val="003F4474"/>
    <w:rsid w:val="004A3774"/>
    <w:rsid w:val="004D12EA"/>
    <w:rsid w:val="004E2F36"/>
    <w:rsid w:val="004E4F6C"/>
    <w:rsid w:val="004E51D0"/>
    <w:rsid w:val="00535F09"/>
    <w:rsid w:val="00563A13"/>
    <w:rsid w:val="00586EBC"/>
    <w:rsid w:val="005877A2"/>
    <w:rsid w:val="005D6328"/>
    <w:rsid w:val="005F0EB7"/>
    <w:rsid w:val="005F636C"/>
    <w:rsid w:val="00634F83"/>
    <w:rsid w:val="0069500F"/>
    <w:rsid w:val="006B0C51"/>
    <w:rsid w:val="006B6AAE"/>
    <w:rsid w:val="006D0977"/>
    <w:rsid w:val="006E2CA1"/>
    <w:rsid w:val="006E5B4F"/>
    <w:rsid w:val="007058BC"/>
    <w:rsid w:val="007D2B8D"/>
    <w:rsid w:val="00887788"/>
    <w:rsid w:val="00894D97"/>
    <w:rsid w:val="00896F13"/>
    <w:rsid w:val="008B0FD2"/>
    <w:rsid w:val="008D7585"/>
    <w:rsid w:val="00900C61"/>
    <w:rsid w:val="00935F81"/>
    <w:rsid w:val="00994FA9"/>
    <w:rsid w:val="009A52CF"/>
    <w:rsid w:val="009A7846"/>
    <w:rsid w:val="00A14432"/>
    <w:rsid w:val="00A16032"/>
    <w:rsid w:val="00AC5820"/>
    <w:rsid w:val="00B40C55"/>
    <w:rsid w:val="00BD7C19"/>
    <w:rsid w:val="00C50157"/>
    <w:rsid w:val="00C672B2"/>
    <w:rsid w:val="00CF7BA7"/>
    <w:rsid w:val="00D217C2"/>
    <w:rsid w:val="00D36032"/>
    <w:rsid w:val="00D45847"/>
    <w:rsid w:val="00DD7D28"/>
    <w:rsid w:val="00E35451"/>
    <w:rsid w:val="00E55FA1"/>
    <w:rsid w:val="00E83A51"/>
    <w:rsid w:val="00EA5B65"/>
    <w:rsid w:val="00EF5B45"/>
    <w:rsid w:val="00F253C6"/>
    <w:rsid w:val="00F6572E"/>
    <w:rsid w:val="00FA544C"/>
    <w:rsid w:val="00FA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357A"/>
  <w15:chartTrackingRefBased/>
  <w15:docId w15:val="{EF3DD8F9-E294-4EA2-9EE6-ABEFE09E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52CF"/>
    <w:rPr>
      <w:sz w:val="16"/>
      <w:szCs w:val="16"/>
    </w:rPr>
  </w:style>
  <w:style w:type="paragraph" w:styleId="CommentText">
    <w:name w:val="annotation text"/>
    <w:basedOn w:val="Normal"/>
    <w:link w:val="CommentTextChar"/>
    <w:uiPriority w:val="99"/>
    <w:semiHidden/>
    <w:unhideWhenUsed/>
    <w:rsid w:val="009A52CF"/>
    <w:rPr>
      <w:sz w:val="20"/>
      <w:szCs w:val="20"/>
    </w:rPr>
  </w:style>
  <w:style w:type="character" w:customStyle="1" w:styleId="CommentTextChar">
    <w:name w:val="Comment Text Char"/>
    <w:basedOn w:val="DefaultParagraphFont"/>
    <w:link w:val="CommentText"/>
    <w:uiPriority w:val="99"/>
    <w:semiHidden/>
    <w:rsid w:val="009A52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52CF"/>
    <w:rPr>
      <w:b/>
      <w:bCs/>
    </w:rPr>
  </w:style>
  <w:style w:type="character" w:customStyle="1" w:styleId="CommentSubjectChar">
    <w:name w:val="Comment Subject Char"/>
    <w:basedOn w:val="CommentTextChar"/>
    <w:link w:val="CommentSubject"/>
    <w:uiPriority w:val="99"/>
    <w:semiHidden/>
    <w:rsid w:val="009A52CF"/>
    <w:rPr>
      <w:rFonts w:ascii="Calibri" w:hAnsi="Calibri" w:cs="Calibri"/>
      <w:b/>
      <w:bCs/>
      <w:sz w:val="20"/>
      <w:szCs w:val="20"/>
    </w:rPr>
  </w:style>
  <w:style w:type="paragraph" w:styleId="BalloonText">
    <w:name w:val="Balloon Text"/>
    <w:basedOn w:val="Normal"/>
    <w:link w:val="BalloonTextChar"/>
    <w:uiPriority w:val="99"/>
    <w:semiHidden/>
    <w:unhideWhenUsed/>
    <w:rsid w:val="009A5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CF"/>
    <w:rPr>
      <w:rFonts w:ascii="Segoe UI" w:hAnsi="Segoe UI" w:cs="Segoe UI"/>
      <w:sz w:val="18"/>
      <w:szCs w:val="18"/>
    </w:rPr>
  </w:style>
  <w:style w:type="character" w:styleId="Hyperlink">
    <w:name w:val="Hyperlink"/>
    <w:basedOn w:val="DefaultParagraphFont"/>
    <w:uiPriority w:val="99"/>
    <w:unhideWhenUsed/>
    <w:rsid w:val="0021284F"/>
    <w:rPr>
      <w:color w:val="0563C1" w:themeColor="hyperlink"/>
      <w:u w:val="single"/>
    </w:rPr>
  </w:style>
  <w:style w:type="character" w:customStyle="1" w:styleId="UnresolvedMention1">
    <w:name w:val="Unresolved Mention1"/>
    <w:basedOn w:val="DefaultParagraphFont"/>
    <w:uiPriority w:val="99"/>
    <w:semiHidden/>
    <w:unhideWhenUsed/>
    <w:rsid w:val="00D217C2"/>
    <w:rPr>
      <w:color w:val="605E5C"/>
      <w:shd w:val="clear" w:color="auto" w:fill="E1DFDD"/>
    </w:rPr>
  </w:style>
  <w:style w:type="paragraph" w:styleId="Revision">
    <w:name w:val="Revision"/>
    <w:hidden/>
    <w:uiPriority w:val="99"/>
    <w:semiHidden/>
    <w:rsid w:val="009A7846"/>
    <w:pPr>
      <w:spacing w:after="0" w:line="240" w:lineRule="auto"/>
    </w:pPr>
    <w:rPr>
      <w:rFonts w:ascii="Calibri" w:hAnsi="Calibri" w:cs="Calibri"/>
    </w:rPr>
  </w:style>
  <w:style w:type="paragraph" w:styleId="ListParagraph">
    <w:name w:val="List Paragraph"/>
    <w:basedOn w:val="Normal"/>
    <w:uiPriority w:val="34"/>
    <w:qFormat/>
    <w:rsid w:val="003507A3"/>
    <w:pPr>
      <w:ind w:left="720"/>
      <w:contextualSpacing/>
    </w:pPr>
  </w:style>
  <w:style w:type="paragraph" w:styleId="NormalWeb">
    <w:name w:val="Normal (Web)"/>
    <w:basedOn w:val="Normal"/>
    <w:uiPriority w:val="99"/>
    <w:unhideWhenUsed/>
    <w:rsid w:val="003507A3"/>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35F81"/>
    <w:pPr>
      <w:spacing w:before="240" w:after="120"/>
      <w:contextualSpacing/>
    </w:pPr>
    <w:rPr>
      <w:rFonts w:ascii="Source Sans Pro SemiBold" w:eastAsiaTheme="majorEastAsia" w:hAnsi="Source Sans Pro SemiBold" w:cstheme="majorBidi"/>
      <w:color w:val="EE2737"/>
      <w:spacing w:val="-10"/>
      <w:kern w:val="28"/>
      <w:sz w:val="56"/>
      <w:szCs w:val="56"/>
    </w:rPr>
  </w:style>
  <w:style w:type="character" w:customStyle="1" w:styleId="TitleChar">
    <w:name w:val="Title Char"/>
    <w:basedOn w:val="DefaultParagraphFont"/>
    <w:link w:val="Title"/>
    <w:uiPriority w:val="10"/>
    <w:rsid w:val="00935F81"/>
    <w:rPr>
      <w:rFonts w:ascii="Source Sans Pro SemiBold" w:eastAsiaTheme="majorEastAsia" w:hAnsi="Source Sans Pro SemiBold" w:cstheme="majorBidi"/>
      <w:color w:val="EE2737"/>
      <w:spacing w:val="-10"/>
      <w:kern w:val="28"/>
      <w:sz w:val="56"/>
      <w:szCs w:val="56"/>
    </w:rPr>
  </w:style>
  <w:style w:type="paragraph" w:styleId="Subtitle">
    <w:name w:val="Subtitle"/>
    <w:basedOn w:val="Normal"/>
    <w:next w:val="Normal"/>
    <w:link w:val="SubtitleChar"/>
    <w:uiPriority w:val="11"/>
    <w:qFormat/>
    <w:rsid w:val="00935F81"/>
    <w:pPr>
      <w:numPr>
        <w:ilvl w:val="1"/>
      </w:numPr>
      <w:spacing w:after="360" w:line="260" w:lineRule="exact"/>
    </w:pPr>
    <w:rPr>
      <w:rFonts w:ascii="Source Sans Pro" w:eastAsiaTheme="minorEastAsia" w:hAnsi="Source Sans Pro" w:cstheme="minorBidi"/>
      <w:color w:val="5A5A5A" w:themeColor="text1" w:themeTint="A5"/>
      <w:spacing w:val="15"/>
    </w:rPr>
  </w:style>
  <w:style w:type="character" w:customStyle="1" w:styleId="SubtitleChar">
    <w:name w:val="Subtitle Char"/>
    <w:basedOn w:val="DefaultParagraphFont"/>
    <w:link w:val="Subtitle"/>
    <w:uiPriority w:val="11"/>
    <w:rsid w:val="00935F81"/>
    <w:rPr>
      <w:rFonts w:ascii="Source Sans Pro" w:eastAsiaTheme="minorEastAsia" w:hAnsi="Source Sans Pro"/>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mp.org" TargetMode="External"/><Relationship Id="rId3" Type="http://schemas.openxmlformats.org/officeDocument/2006/relationships/settings" Target="settings.xml"/><Relationship Id="rId7" Type="http://schemas.openxmlformats.org/officeDocument/2006/relationships/hyperlink" Target="https://www.ismp.org/resources-related-neuromuscular-blocker-and-adc-err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mp.org/resources/criminalization-human-error-and-guilty-verdict-travesty-justice-threatens-patient-safety" TargetMode="External"/><Relationship Id="rId5" Type="http://schemas.openxmlformats.org/officeDocument/2006/relationships/hyperlink" Target="mailto:lmenyo@ecr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Sheila</dc:creator>
  <cp:keywords/>
  <dc:description/>
  <cp:lastModifiedBy>Jordann Rufo</cp:lastModifiedBy>
  <cp:revision>2</cp:revision>
  <dcterms:created xsi:type="dcterms:W3CDTF">2022-04-13T14:43:00Z</dcterms:created>
  <dcterms:modified xsi:type="dcterms:W3CDTF">2022-04-13T14:43:00Z</dcterms:modified>
</cp:coreProperties>
</file>