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33B8C" w14:textId="273B48F4" w:rsidR="002E13B1" w:rsidRPr="0094526E" w:rsidRDefault="00AE495F">
      <w:pPr>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9"/>
        <w:gridCol w:w="7861"/>
      </w:tblGrid>
      <w:tr w:rsidR="00501E5D" w14:paraId="743F8EEC" w14:textId="77777777" w:rsidTr="00501E5D">
        <w:tc>
          <w:tcPr>
            <w:tcW w:w="1615" w:type="dxa"/>
            <w:vMerge w:val="restart"/>
            <w:shd w:val="clear" w:color="auto" w:fill="DEEAF6" w:themeFill="accent5" w:themeFillTint="33"/>
          </w:tcPr>
          <w:p w14:paraId="5BA6DBAB" w14:textId="64CCAC30" w:rsidR="00AC4B73" w:rsidRPr="0094526E" w:rsidRDefault="00AC4B73" w:rsidP="0094526E">
            <w:pPr>
              <w:rPr>
                <w:rFonts w:cstheme="minorHAnsi"/>
                <w:noProof/>
                <w:sz w:val="24"/>
                <w:szCs w:val="24"/>
              </w:rPr>
            </w:pPr>
            <w:r w:rsidRPr="0094526E">
              <w:rPr>
                <w:rFonts w:cstheme="minorHAnsi"/>
                <w:noProof/>
                <w:sz w:val="24"/>
                <w:szCs w:val="24"/>
              </w:rPr>
              <w:drawing>
                <wp:inline distT="0" distB="0" distL="0" distR="0" wp14:anchorId="017877C1" wp14:editId="422BB64F">
                  <wp:extent cx="838200" cy="10159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005" cy="1038793"/>
                          </a:xfrm>
                          <a:prstGeom prst="rect">
                            <a:avLst/>
                          </a:prstGeom>
                          <a:noFill/>
                          <a:ln>
                            <a:noFill/>
                          </a:ln>
                        </pic:spPr>
                      </pic:pic>
                    </a:graphicData>
                  </a:graphic>
                </wp:inline>
              </w:drawing>
            </w:r>
          </w:p>
        </w:tc>
        <w:tc>
          <w:tcPr>
            <w:tcW w:w="7735" w:type="dxa"/>
            <w:shd w:val="clear" w:color="auto" w:fill="DEEAF6" w:themeFill="accent5" w:themeFillTint="33"/>
          </w:tcPr>
          <w:p w14:paraId="0FD18748" w14:textId="324A276C" w:rsidR="00AC4B73" w:rsidRDefault="00C13353" w:rsidP="00C17811">
            <w:pPr>
              <w:jc w:val="right"/>
              <w:rPr>
                <w:rFonts w:cstheme="minorHAnsi"/>
                <w:sz w:val="24"/>
                <w:szCs w:val="24"/>
              </w:rPr>
            </w:pPr>
            <w:r>
              <w:rPr>
                <w:rFonts w:cstheme="minorHAnsi"/>
                <w:noProof/>
                <w:sz w:val="24"/>
                <w:szCs w:val="24"/>
              </w:rPr>
              <w:drawing>
                <wp:inline distT="0" distB="0" distL="0" distR="0" wp14:anchorId="61D72F6D" wp14:editId="518BC05F">
                  <wp:extent cx="1560895" cy="658314"/>
                  <wp:effectExtent l="0" t="0" r="1270" b="889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66283" cy="660587"/>
                          </a:xfrm>
                          <a:prstGeom prst="rect">
                            <a:avLst/>
                          </a:prstGeom>
                        </pic:spPr>
                      </pic:pic>
                    </a:graphicData>
                  </a:graphic>
                </wp:inline>
              </w:drawing>
            </w:r>
          </w:p>
        </w:tc>
      </w:tr>
      <w:tr w:rsidR="00501E5D" w14:paraId="79B60C8B" w14:textId="77777777" w:rsidTr="00501E5D">
        <w:trPr>
          <w:trHeight w:val="1790"/>
        </w:trPr>
        <w:tc>
          <w:tcPr>
            <w:tcW w:w="1615" w:type="dxa"/>
            <w:vMerge/>
            <w:shd w:val="clear" w:color="auto" w:fill="DEEAF6" w:themeFill="accent5" w:themeFillTint="33"/>
          </w:tcPr>
          <w:p w14:paraId="18DC7CDE" w14:textId="77777777" w:rsidR="00AC4B73" w:rsidRPr="0094526E" w:rsidRDefault="00AC4B73" w:rsidP="0094526E">
            <w:pPr>
              <w:rPr>
                <w:rFonts w:cstheme="minorHAnsi"/>
                <w:noProof/>
                <w:sz w:val="24"/>
                <w:szCs w:val="24"/>
              </w:rPr>
            </w:pPr>
          </w:p>
        </w:tc>
        <w:tc>
          <w:tcPr>
            <w:tcW w:w="7735" w:type="dxa"/>
            <w:shd w:val="clear" w:color="auto" w:fill="DEEAF6" w:themeFill="accent5" w:themeFillTint="33"/>
          </w:tcPr>
          <w:p w14:paraId="6FED3278" w14:textId="0B30A8E9" w:rsidR="00AC4B73" w:rsidRPr="0094526E" w:rsidRDefault="00942324" w:rsidP="0094526E">
            <w:pPr>
              <w:rPr>
                <w:rFonts w:cstheme="minorHAnsi"/>
                <w:noProof/>
                <w:sz w:val="24"/>
                <w:szCs w:val="24"/>
              </w:rPr>
            </w:pPr>
            <w:r>
              <w:rPr>
                <w:noProof/>
              </w:rPr>
              <mc:AlternateContent>
                <mc:Choice Requires="wps">
                  <w:drawing>
                    <wp:inline distT="0" distB="0" distL="0" distR="0" wp14:anchorId="7666E813" wp14:editId="0DCE452F">
                      <wp:extent cx="4994275" cy="1052830"/>
                      <wp:effectExtent l="0" t="0" r="0" b="0"/>
                      <wp:docPr id="3" name="Text Box 3"/>
                      <wp:cNvGraphicFramePr/>
                      <a:graphic xmlns:a="http://schemas.openxmlformats.org/drawingml/2006/main">
                        <a:graphicData uri="http://schemas.microsoft.com/office/word/2010/wordprocessingShape">
                          <wps:wsp>
                            <wps:cNvSpPr txBox="1"/>
                            <wps:spPr>
                              <a:xfrm>
                                <a:off x="0" y="0"/>
                                <a:ext cx="4994275" cy="1052830"/>
                              </a:xfrm>
                              <a:prstGeom prst="rect">
                                <a:avLst/>
                              </a:prstGeom>
                              <a:noFill/>
                              <a:ln>
                                <a:noFill/>
                              </a:ln>
                            </wps:spPr>
                            <wps:txbx>
                              <w:txbxContent>
                                <w:p w14:paraId="6673D74F" w14:textId="3686FAF9" w:rsidR="00942324" w:rsidRPr="00AF0580" w:rsidRDefault="00942324" w:rsidP="00942324">
                                  <w:pPr>
                                    <w:spacing w:after="0" w:line="240" w:lineRule="auto"/>
                                    <w:jc w:val="center"/>
                                    <w:rPr>
                                      <w:rFonts w:cstheme="minorHAnsi"/>
                                      <w:b/>
                                      <w:i/>
                                      <w:iCs/>
                                      <w:color w:val="4472C4" w:themeColor="accent1"/>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F0580">
                                    <w:rPr>
                                      <w:rFonts w:cstheme="minorHAnsi"/>
                                      <w:b/>
                                      <w:i/>
                                      <w:iCs/>
                                      <w:color w:val="4472C4" w:themeColor="accent1"/>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FDA/ISMP S</w:t>
                                  </w:r>
                                  <w:r w:rsidR="00E53AB3">
                                    <w:rPr>
                                      <w:rFonts w:cstheme="minorHAnsi"/>
                                      <w:b/>
                                      <w:i/>
                                      <w:iCs/>
                                      <w:color w:val="4472C4" w:themeColor="accent1"/>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afe</w:t>
                                  </w:r>
                                  <w:r w:rsidRPr="00AF0580">
                                    <w:rPr>
                                      <w:rFonts w:cstheme="minorHAnsi"/>
                                      <w:b/>
                                      <w:i/>
                                      <w:iCs/>
                                      <w:color w:val="4472C4" w:themeColor="accent1"/>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Medication Management Fellowship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666E813" id="_x0000_t202" coordsize="21600,21600" o:spt="202" path="m,l,21600r21600,l21600,xe">
                      <v:stroke joinstyle="miter"/>
                      <v:path gradientshapeok="t" o:connecttype="rect"/>
                    </v:shapetype>
                    <v:shape id="Text Box 3" o:spid="_x0000_s1026" type="#_x0000_t202" style="width:393.25pt;height:8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" filled="f" stroked="f">
                      <v:textbox>
                        <w:txbxContent>
                          <w:p w14:paraId="6673D74F" w14:textId="3686FAF9" w:rsidR="00942324" w:rsidRPr="00AF0580" w:rsidRDefault="00942324" w:rsidP="00942324">
                            <w:pPr>
                              <w:spacing w:after="0" w:line="240" w:lineRule="auto"/>
                              <w:jc w:val="center"/>
                              <w:rPr>
                                <w:rFonts w:cstheme="minorHAnsi"/>
                                <w:b/>
                                <w:i/>
                                <w:iCs/>
                                <w:color w:val="4472C4" w:themeColor="accent1"/>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F0580">
                              <w:rPr>
                                <w:rFonts w:cstheme="minorHAnsi"/>
                                <w:b/>
                                <w:i/>
                                <w:iCs/>
                                <w:color w:val="4472C4" w:themeColor="accent1"/>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FDA/ISMP S</w:t>
                            </w:r>
                            <w:r w:rsidR="00E53AB3">
                              <w:rPr>
                                <w:rFonts w:cstheme="minorHAnsi"/>
                                <w:b/>
                                <w:i/>
                                <w:iCs/>
                                <w:color w:val="4472C4" w:themeColor="accent1"/>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afe</w:t>
                            </w:r>
                            <w:r w:rsidRPr="00AF0580">
                              <w:rPr>
                                <w:rFonts w:cstheme="minorHAnsi"/>
                                <w:b/>
                                <w:i/>
                                <w:iCs/>
                                <w:color w:val="4472C4" w:themeColor="accent1"/>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Medication Management Fellowship</w:t>
                            </w:r>
                          </w:p>
                        </w:txbxContent>
                      </v:textbox>
                      <w10:anchorlock/>
                    </v:shape>
                  </w:pict>
                </mc:Fallback>
              </mc:AlternateContent>
            </w:r>
          </w:p>
        </w:tc>
      </w:tr>
      <w:tr w:rsidR="000D2E06" w14:paraId="26EDC259" w14:textId="77777777" w:rsidTr="00501E5D">
        <w:tc>
          <w:tcPr>
            <w:tcW w:w="9350" w:type="dxa"/>
            <w:gridSpan w:val="2"/>
            <w:shd w:val="clear" w:color="auto" w:fill="DEEAF6" w:themeFill="accent5" w:themeFillTint="33"/>
          </w:tcPr>
          <w:p w14:paraId="0A4595CB" w14:textId="77777777" w:rsidR="000D2E06" w:rsidRPr="0094526E" w:rsidRDefault="000D2E06" w:rsidP="000D2E06">
            <w:pPr>
              <w:jc w:val="center"/>
              <w:rPr>
                <w:rFonts w:cstheme="minorHAnsi"/>
                <w:b/>
                <w:color w:val="0000FF"/>
                <w:sz w:val="24"/>
                <w:szCs w:val="24"/>
              </w:rPr>
            </w:pPr>
            <w:r w:rsidRPr="0045408A">
              <w:rPr>
                <w:rFonts w:cstheme="minorHAnsi"/>
                <w:b/>
                <w:color w:val="2F5496" w:themeColor="accent1" w:themeShade="BF"/>
                <w:sz w:val="24"/>
                <w:szCs w:val="24"/>
              </w:rPr>
              <w:t xml:space="preserve">A Joint One-year Learning Opportunity in Medication Error Prevention </w:t>
            </w:r>
          </w:p>
          <w:p w14:paraId="23845641" w14:textId="77777777" w:rsidR="000D2E06" w:rsidRPr="0094526E" w:rsidRDefault="000D2E06" w:rsidP="00C17811">
            <w:pPr>
              <w:rPr>
                <w:rFonts w:cstheme="minorHAnsi"/>
                <w:b/>
                <w:sz w:val="24"/>
                <w:szCs w:val="24"/>
              </w:rPr>
            </w:pPr>
          </w:p>
        </w:tc>
      </w:tr>
    </w:tbl>
    <w:p w14:paraId="7F2A4BA9" w14:textId="6FD7A63F" w:rsidR="0094526E" w:rsidRPr="0045408A" w:rsidRDefault="0094526E" w:rsidP="0094526E">
      <w:pPr>
        <w:spacing w:after="0" w:line="240" w:lineRule="auto"/>
        <w:rPr>
          <w:rFonts w:cstheme="minorHAnsi"/>
          <w:b/>
          <w:color w:val="2F5496" w:themeColor="accent1" w:themeShade="BF"/>
          <w:sz w:val="24"/>
          <w:szCs w:val="24"/>
        </w:rPr>
      </w:pPr>
    </w:p>
    <w:p w14:paraId="418C46F5" w14:textId="3F4047B6" w:rsidR="0094526E" w:rsidRPr="0045408A" w:rsidRDefault="002D72CF" w:rsidP="0094526E">
      <w:pPr>
        <w:jc w:val="center"/>
        <w:rPr>
          <w:rFonts w:cstheme="minorHAnsi"/>
          <w:b/>
          <w:color w:val="2F5496" w:themeColor="accent1" w:themeShade="BF"/>
          <w:sz w:val="24"/>
          <w:szCs w:val="24"/>
        </w:rPr>
      </w:pPr>
      <w:r w:rsidRPr="0045408A">
        <w:rPr>
          <w:rFonts w:cstheme="minorHAnsi"/>
          <w:b/>
          <w:color w:val="2F5496" w:themeColor="accent1" w:themeShade="BF"/>
          <w:sz w:val="24"/>
          <w:szCs w:val="24"/>
        </w:rPr>
        <w:t>About the Fellowship</w:t>
      </w:r>
    </w:p>
    <w:p w14:paraId="3D8B0523" w14:textId="70907381" w:rsidR="0094526E" w:rsidRDefault="0094526E" w:rsidP="0094526E">
      <w:pPr>
        <w:rPr>
          <w:rFonts w:cstheme="minorHAnsi"/>
          <w:sz w:val="24"/>
          <w:szCs w:val="24"/>
        </w:rPr>
      </w:pPr>
      <w:r w:rsidRPr="0094526E">
        <w:rPr>
          <w:rFonts w:cstheme="minorHAnsi"/>
          <w:sz w:val="24"/>
          <w:szCs w:val="24"/>
        </w:rPr>
        <w:t xml:space="preserve">This fellowship program is a joint effort between the Institute for Safe Medication Practices (ISMP) and the U.S. Food and Drug Administration (FDA), Center for Drug Evaluation and Research, Office of Surveillance and Epidemiology, </w:t>
      </w:r>
      <w:r w:rsidR="00DA5AB7" w:rsidRPr="00DA5AB7">
        <w:rPr>
          <w:rFonts w:cstheme="minorHAnsi"/>
          <w:sz w:val="24"/>
          <w:szCs w:val="24"/>
        </w:rPr>
        <w:t xml:space="preserve">Office of Medication Error Prevention and Risk Management, </w:t>
      </w:r>
      <w:r w:rsidRPr="00DA5AB7">
        <w:rPr>
          <w:rFonts w:cstheme="minorHAnsi"/>
          <w:sz w:val="24"/>
          <w:szCs w:val="24"/>
        </w:rPr>
        <w:t>Division</w:t>
      </w:r>
      <w:r w:rsidR="002B0A2C">
        <w:rPr>
          <w:rFonts w:cstheme="minorHAnsi"/>
          <w:sz w:val="24"/>
          <w:szCs w:val="24"/>
        </w:rPr>
        <w:t>s</w:t>
      </w:r>
      <w:r w:rsidRPr="00DA5AB7">
        <w:rPr>
          <w:rFonts w:cstheme="minorHAnsi"/>
          <w:sz w:val="24"/>
          <w:szCs w:val="24"/>
        </w:rPr>
        <w:t xml:space="preserve"> of Me</w:t>
      </w:r>
      <w:r w:rsidRPr="0094526E">
        <w:rPr>
          <w:rFonts w:cstheme="minorHAnsi"/>
          <w:sz w:val="24"/>
          <w:szCs w:val="24"/>
        </w:rPr>
        <w:t xml:space="preserve">dication Error Prevention and Analysis </w:t>
      </w:r>
      <w:r w:rsidR="00612753">
        <w:rPr>
          <w:rFonts w:cstheme="minorHAnsi"/>
          <w:sz w:val="24"/>
          <w:szCs w:val="24"/>
        </w:rPr>
        <w:t>I</w:t>
      </w:r>
      <w:r w:rsidR="00DA5AB7">
        <w:rPr>
          <w:rFonts w:cstheme="minorHAnsi"/>
          <w:sz w:val="24"/>
          <w:szCs w:val="24"/>
        </w:rPr>
        <w:t xml:space="preserve"> and </w:t>
      </w:r>
      <w:r w:rsidR="00612753">
        <w:rPr>
          <w:rFonts w:cstheme="minorHAnsi"/>
          <w:sz w:val="24"/>
          <w:szCs w:val="24"/>
        </w:rPr>
        <w:t>II</w:t>
      </w:r>
      <w:r w:rsidR="00DA5AB7">
        <w:rPr>
          <w:rFonts w:cstheme="minorHAnsi"/>
          <w:sz w:val="24"/>
          <w:szCs w:val="24"/>
        </w:rPr>
        <w:t xml:space="preserve"> </w:t>
      </w:r>
      <w:r w:rsidRPr="0094526E">
        <w:rPr>
          <w:rFonts w:cstheme="minorHAnsi"/>
          <w:sz w:val="24"/>
          <w:szCs w:val="24"/>
        </w:rPr>
        <w:t>(DMEPA</w:t>
      </w:r>
      <w:r w:rsidR="00DA5AB7">
        <w:rPr>
          <w:rFonts w:cstheme="minorHAnsi"/>
          <w:sz w:val="24"/>
          <w:szCs w:val="24"/>
        </w:rPr>
        <w:t xml:space="preserve"> </w:t>
      </w:r>
      <w:r w:rsidR="00612753">
        <w:rPr>
          <w:rFonts w:cstheme="minorHAnsi"/>
          <w:sz w:val="24"/>
          <w:szCs w:val="24"/>
        </w:rPr>
        <w:t>I</w:t>
      </w:r>
      <w:r w:rsidR="00DA5AB7">
        <w:rPr>
          <w:rFonts w:cstheme="minorHAnsi"/>
          <w:sz w:val="24"/>
          <w:szCs w:val="24"/>
        </w:rPr>
        <w:t xml:space="preserve"> &amp; </w:t>
      </w:r>
      <w:r w:rsidR="00612753">
        <w:rPr>
          <w:rFonts w:cstheme="minorHAnsi"/>
          <w:sz w:val="24"/>
          <w:szCs w:val="24"/>
        </w:rPr>
        <w:t>II)</w:t>
      </w:r>
      <w:r w:rsidRPr="0094526E">
        <w:rPr>
          <w:rFonts w:cstheme="minorHAnsi"/>
          <w:sz w:val="24"/>
          <w:szCs w:val="24"/>
        </w:rPr>
        <w:t xml:space="preserve">.  </w:t>
      </w:r>
      <w:r w:rsidR="00DA5AB7">
        <w:rPr>
          <w:rFonts w:cstheme="minorHAnsi"/>
          <w:sz w:val="24"/>
          <w:szCs w:val="24"/>
        </w:rPr>
        <w:t>T</w:t>
      </w:r>
      <w:r w:rsidRPr="0094526E">
        <w:rPr>
          <w:rFonts w:cstheme="minorHAnsi"/>
          <w:sz w:val="24"/>
          <w:szCs w:val="24"/>
        </w:rPr>
        <w:t xml:space="preserve">he fellow will spend 6 months </w:t>
      </w:r>
      <w:r w:rsidR="00DA5AB7">
        <w:rPr>
          <w:rFonts w:cstheme="minorHAnsi"/>
          <w:sz w:val="24"/>
          <w:szCs w:val="24"/>
        </w:rPr>
        <w:t xml:space="preserve">with </w:t>
      </w:r>
      <w:r w:rsidRPr="0094526E">
        <w:rPr>
          <w:rFonts w:cstheme="minorHAnsi"/>
          <w:sz w:val="24"/>
          <w:szCs w:val="24"/>
        </w:rPr>
        <w:t xml:space="preserve">ISMP </w:t>
      </w:r>
      <w:r w:rsidR="00DA5AB7">
        <w:rPr>
          <w:rFonts w:cstheme="minorHAnsi"/>
          <w:sz w:val="24"/>
          <w:szCs w:val="24"/>
        </w:rPr>
        <w:t>located in the suburbs of Philadelphia, PA, in Montgomery County,</w:t>
      </w:r>
      <w:r w:rsidRPr="0094526E">
        <w:rPr>
          <w:rFonts w:cstheme="minorHAnsi"/>
          <w:sz w:val="24"/>
          <w:szCs w:val="24"/>
        </w:rPr>
        <w:t xml:space="preserve"> and 6 months at FDA </w:t>
      </w:r>
      <w:r w:rsidR="00DA5AB7">
        <w:rPr>
          <w:rFonts w:cstheme="minorHAnsi"/>
          <w:sz w:val="24"/>
          <w:szCs w:val="24"/>
        </w:rPr>
        <w:t xml:space="preserve">located in </w:t>
      </w:r>
      <w:r w:rsidRPr="0094526E">
        <w:rPr>
          <w:rFonts w:cstheme="minorHAnsi"/>
          <w:sz w:val="24"/>
          <w:szCs w:val="24"/>
        </w:rPr>
        <w:t>Silver Spring, MD.</w:t>
      </w:r>
      <w:r w:rsidR="002C0E5E" w:rsidRPr="002C0E5E">
        <w:rPr>
          <w:rFonts w:cstheme="minorHAnsi"/>
          <w:noProof/>
          <w:sz w:val="24"/>
          <w:szCs w:val="24"/>
        </w:rPr>
        <w:t xml:space="preserve"> </w:t>
      </w:r>
    </w:p>
    <w:p w14:paraId="4B244B6E" w14:textId="735C468B" w:rsidR="005D6668" w:rsidRDefault="005D6668" w:rsidP="0094526E">
      <w:pPr>
        <w:rPr>
          <w:rFonts w:cstheme="minorHAnsi"/>
          <w:sz w:val="24"/>
          <w:szCs w:val="24"/>
        </w:rPr>
      </w:pPr>
    </w:p>
    <w:p w14:paraId="32BED7E0" w14:textId="360B258D" w:rsidR="007F4AA7" w:rsidRPr="0094526E" w:rsidRDefault="002C0E5E" w:rsidP="00662BA3">
      <w:pPr>
        <w:ind w:left="360"/>
        <w:rPr>
          <w:rFonts w:cstheme="minorHAnsi"/>
          <w:sz w:val="24"/>
          <w:szCs w:val="24"/>
        </w:rPr>
      </w:pPr>
      <w:r>
        <w:rPr>
          <w:rFonts w:cstheme="minorHAnsi"/>
          <w:noProof/>
          <w:sz w:val="24"/>
          <w:szCs w:val="24"/>
        </w:rPr>
        <w:drawing>
          <wp:anchor distT="0" distB="0" distL="114300" distR="114300" simplePos="0" relativeHeight="251658240" behindDoc="0" locked="0" layoutInCell="1" allowOverlap="1" wp14:anchorId="3092434C" wp14:editId="0AEC46B8">
            <wp:simplePos x="0" y="0"/>
            <wp:positionH relativeFrom="column">
              <wp:posOffset>611054</wp:posOffset>
            </wp:positionH>
            <wp:positionV relativeFrom="paragraph">
              <wp:posOffset>84455</wp:posOffset>
            </wp:positionV>
            <wp:extent cx="1847850" cy="779123"/>
            <wp:effectExtent l="0" t="0" r="0" b="254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7850" cy="779123"/>
                    </a:xfrm>
                    <a:prstGeom prst="rect">
                      <a:avLst/>
                    </a:prstGeom>
                  </pic:spPr>
                </pic:pic>
              </a:graphicData>
            </a:graphic>
            <wp14:sizeRelH relativeFrom="page">
              <wp14:pctWidth>0</wp14:pctWidth>
            </wp14:sizeRelH>
            <wp14:sizeRelV relativeFrom="page">
              <wp14:pctHeight>0</wp14:pctHeight>
            </wp14:sizeRelV>
          </wp:anchor>
        </w:drawing>
      </w:r>
      <w:r w:rsidR="001F1FCD">
        <w:rPr>
          <w:rFonts w:cstheme="minorHAnsi"/>
          <w:noProof/>
          <w:sz w:val="24"/>
          <w:szCs w:val="24"/>
        </w:rPr>
        <w:drawing>
          <wp:inline distT="0" distB="0" distL="0" distR="0" wp14:anchorId="6594BA6A" wp14:editId="1F4C284D">
            <wp:extent cx="5327073" cy="2140527"/>
            <wp:effectExtent l="0" t="0" r="6985" b="1270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60B75CC" w14:textId="77777777" w:rsidR="00344ABB" w:rsidRDefault="00344ABB" w:rsidP="0094526E">
      <w:pPr>
        <w:rPr>
          <w:rFonts w:cstheme="minorHAnsi"/>
          <w:sz w:val="24"/>
          <w:szCs w:val="24"/>
        </w:rPr>
      </w:pPr>
    </w:p>
    <w:p w14:paraId="1950EB48" w14:textId="20ABF8A2" w:rsidR="0094526E" w:rsidRDefault="0094526E" w:rsidP="0094526E">
      <w:pPr>
        <w:rPr>
          <w:rFonts w:cstheme="minorHAnsi"/>
          <w:sz w:val="24"/>
          <w:szCs w:val="24"/>
        </w:rPr>
      </w:pPr>
      <w:r w:rsidRPr="0094526E">
        <w:rPr>
          <w:rFonts w:cstheme="minorHAnsi"/>
          <w:sz w:val="24"/>
          <w:szCs w:val="24"/>
        </w:rPr>
        <w:t>The fellowship program gives experienced candidates an unparalleled opportunity to learn from and work with some of the nation’s top experts in medication safety.  The fellow benefits from ISMP’s years of experience devoted to medication error prevention and safe medication use.  At FDA, valuable regulatory experience is gained by working with the division</w:t>
      </w:r>
      <w:r w:rsidR="005C6D73">
        <w:rPr>
          <w:rFonts w:cstheme="minorHAnsi"/>
          <w:sz w:val="24"/>
          <w:szCs w:val="24"/>
        </w:rPr>
        <w:t>s</w:t>
      </w:r>
      <w:r w:rsidRPr="0094526E">
        <w:rPr>
          <w:rFonts w:cstheme="minorHAnsi"/>
          <w:sz w:val="24"/>
          <w:szCs w:val="24"/>
        </w:rPr>
        <w:t xml:space="preserve"> focused on medication error prevention.</w:t>
      </w:r>
    </w:p>
    <w:p w14:paraId="6FEF226C" w14:textId="18574714" w:rsidR="00DA5AB7" w:rsidRPr="0045408A" w:rsidRDefault="002D72CF" w:rsidP="00DA5AB7">
      <w:pPr>
        <w:rPr>
          <w:rFonts w:ascii="Candara" w:hAnsi="Candara"/>
          <w:b/>
          <w:color w:val="2F5496" w:themeColor="accent1" w:themeShade="BF"/>
          <w:sz w:val="28"/>
          <w:szCs w:val="28"/>
        </w:rPr>
      </w:pPr>
      <w:r w:rsidRPr="0045408A">
        <w:rPr>
          <w:rFonts w:ascii="Candara" w:hAnsi="Candara"/>
          <w:b/>
          <w:color w:val="2F5496" w:themeColor="accent1" w:themeShade="BF"/>
          <w:sz w:val="28"/>
          <w:szCs w:val="28"/>
        </w:rPr>
        <w:lastRenderedPageBreak/>
        <w:t>The Fellow will have the Opportunity to:</w:t>
      </w:r>
    </w:p>
    <w:p w14:paraId="6103F9EB" w14:textId="77777777" w:rsidR="00E547A5" w:rsidRPr="002D72CF" w:rsidRDefault="00E547A5" w:rsidP="00E547A5">
      <w:pPr>
        <w:numPr>
          <w:ilvl w:val="0"/>
          <w:numId w:val="1"/>
        </w:numPr>
        <w:spacing w:after="0" w:line="240" w:lineRule="auto"/>
        <w:rPr>
          <w:rFonts w:ascii="Candara" w:hAnsi="Candara"/>
        </w:rPr>
      </w:pPr>
      <w:r w:rsidRPr="002D72CF">
        <w:rPr>
          <w:rFonts w:ascii="Candara" w:hAnsi="Candara"/>
        </w:rPr>
        <w:t>Assist in investigating errors reported to national error reporting programs</w:t>
      </w:r>
    </w:p>
    <w:p w14:paraId="58E87632" w14:textId="77777777" w:rsidR="00E547A5" w:rsidRPr="002D72CF" w:rsidRDefault="00E547A5" w:rsidP="00E547A5">
      <w:pPr>
        <w:numPr>
          <w:ilvl w:val="0"/>
          <w:numId w:val="1"/>
        </w:numPr>
        <w:spacing w:after="0" w:line="240" w:lineRule="auto"/>
        <w:rPr>
          <w:rFonts w:ascii="Candara" w:hAnsi="Candara"/>
        </w:rPr>
      </w:pPr>
      <w:r w:rsidRPr="002D72CF">
        <w:rPr>
          <w:rFonts w:ascii="Candara" w:hAnsi="Candara"/>
        </w:rPr>
        <w:t>Follow up with manufacturers and regulators after learning about safety hazards</w:t>
      </w:r>
    </w:p>
    <w:p w14:paraId="61505610" w14:textId="1D1ADBB6" w:rsidR="002D72CF" w:rsidRPr="002D72CF" w:rsidRDefault="002D72CF" w:rsidP="002D72CF">
      <w:pPr>
        <w:numPr>
          <w:ilvl w:val="0"/>
          <w:numId w:val="1"/>
        </w:numPr>
        <w:spacing w:after="0" w:line="240" w:lineRule="auto"/>
        <w:rPr>
          <w:rFonts w:ascii="Candara" w:hAnsi="Candara"/>
        </w:rPr>
      </w:pPr>
      <w:r w:rsidRPr="002D72CF">
        <w:rPr>
          <w:rFonts w:ascii="Candara" w:hAnsi="Candara"/>
        </w:rPr>
        <w:t>Write and review information for columns in journals and ISMP’s medication safety newsletters</w:t>
      </w:r>
    </w:p>
    <w:p w14:paraId="14BADFEC" w14:textId="48435A31" w:rsidR="002D72CF" w:rsidRPr="002D72CF" w:rsidRDefault="002D72CF" w:rsidP="002D72CF">
      <w:pPr>
        <w:numPr>
          <w:ilvl w:val="0"/>
          <w:numId w:val="1"/>
        </w:numPr>
        <w:spacing w:after="0" w:line="240" w:lineRule="auto"/>
        <w:rPr>
          <w:rFonts w:ascii="Candara" w:hAnsi="Candara"/>
        </w:rPr>
      </w:pPr>
      <w:r w:rsidRPr="002D72CF">
        <w:rPr>
          <w:rFonts w:ascii="Candara" w:hAnsi="Candara"/>
        </w:rPr>
        <w:t>Attend meetings relating to medication safety</w:t>
      </w:r>
    </w:p>
    <w:p w14:paraId="17194293" w14:textId="78E50FD7" w:rsidR="002D72CF" w:rsidRDefault="002D72CF" w:rsidP="002D72CF">
      <w:pPr>
        <w:numPr>
          <w:ilvl w:val="0"/>
          <w:numId w:val="1"/>
        </w:numPr>
        <w:spacing w:after="0" w:line="240" w:lineRule="auto"/>
        <w:rPr>
          <w:rFonts w:ascii="Candara" w:hAnsi="Candara"/>
        </w:rPr>
      </w:pPr>
      <w:r w:rsidRPr="002D72CF">
        <w:rPr>
          <w:rFonts w:ascii="Candara" w:hAnsi="Candara"/>
        </w:rPr>
        <w:t>Contribute to site visits and safety consultations in different healthcare delivery settings</w:t>
      </w:r>
    </w:p>
    <w:p w14:paraId="6A6B5FE3" w14:textId="77777777" w:rsidR="00E547A5" w:rsidRPr="002D72CF" w:rsidRDefault="00E547A5" w:rsidP="00E547A5">
      <w:pPr>
        <w:numPr>
          <w:ilvl w:val="0"/>
          <w:numId w:val="1"/>
        </w:numPr>
        <w:spacing w:after="0" w:line="240" w:lineRule="auto"/>
        <w:rPr>
          <w:rFonts w:ascii="Candara" w:hAnsi="Candara"/>
        </w:rPr>
      </w:pPr>
      <w:r w:rsidRPr="002D72CF">
        <w:rPr>
          <w:rFonts w:ascii="Candara" w:hAnsi="Candara"/>
        </w:rPr>
        <w:t>Learn how FDA reviews proposed proprietary names to reduce risk</w:t>
      </w:r>
    </w:p>
    <w:p w14:paraId="344A8831" w14:textId="310D572D" w:rsidR="00E547A5" w:rsidRDefault="00E547A5" w:rsidP="00E547A5">
      <w:pPr>
        <w:numPr>
          <w:ilvl w:val="0"/>
          <w:numId w:val="1"/>
        </w:numPr>
        <w:spacing w:after="0" w:line="240" w:lineRule="auto"/>
        <w:rPr>
          <w:rFonts w:ascii="Candara" w:hAnsi="Candara"/>
        </w:rPr>
      </w:pPr>
      <w:r w:rsidRPr="002D72CF">
        <w:rPr>
          <w:rFonts w:ascii="Candara" w:hAnsi="Candara"/>
        </w:rPr>
        <w:t>Learn how labels, labeling</w:t>
      </w:r>
      <w:r w:rsidR="002B0A2C">
        <w:rPr>
          <w:rFonts w:ascii="Candara" w:hAnsi="Candara"/>
        </w:rPr>
        <w:t>,</w:t>
      </w:r>
      <w:r w:rsidRPr="002D72CF">
        <w:rPr>
          <w:rFonts w:ascii="Candara" w:hAnsi="Candara"/>
        </w:rPr>
        <w:t xml:space="preserve"> packaging</w:t>
      </w:r>
      <w:r w:rsidR="002B0A2C">
        <w:rPr>
          <w:rFonts w:ascii="Candara" w:hAnsi="Candara"/>
        </w:rPr>
        <w:t>,</w:t>
      </w:r>
      <w:r w:rsidRPr="002D72CF">
        <w:rPr>
          <w:rFonts w:ascii="Candara" w:hAnsi="Candara"/>
        </w:rPr>
        <w:t xml:space="preserve"> </w:t>
      </w:r>
      <w:r w:rsidR="002B0A2C">
        <w:rPr>
          <w:rFonts w:ascii="Candara" w:hAnsi="Candara"/>
        </w:rPr>
        <w:t xml:space="preserve">and product design </w:t>
      </w:r>
      <w:r w:rsidRPr="002D72CF">
        <w:rPr>
          <w:rFonts w:ascii="Candara" w:hAnsi="Candara"/>
        </w:rPr>
        <w:t>can reduce risk</w:t>
      </w:r>
    </w:p>
    <w:p w14:paraId="67D6386E" w14:textId="2104AC37" w:rsidR="002B0A2C" w:rsidRPr="002D72CF" w:rsidRDefault="002B0A2C" w:rsidP="00E547A5">
      <w:pPr>
        <w:numPr>
          <w:ilvl w:val="0"/>
          <w:numId w:val="1"/>
        </w:numPr>
        <w:spacing w:after="0" w:line="240" w:lineRule="auto"/>
        <w:rPr>
          <w:rFonts w:ascii="Candara" w:hAnsi="Candara"/>
        </w:rPr>
      </w:pPr>
      <w:r>
        <w:rPr>
          <w:rFonts w:ascii="Candara" w:hAnsi="Candara"/>
        </w:rPr>
        <w:t>Learn how human factors engineering is integrated into the design of medical products</w:t>
      </w:r>
    </w:p>
    <w:p w14:paraId="2A579BE4" w14:textId="77777777" w:rsidR="00E547A5" w:rsidRPr="002D72CF" w:rsidRDefault="00E547A5" w:rsidP="00E547A5">
      <w:pPr>
        <w:numPr>
          <w:ilvl w:val="0"/>
          <w:numId w:val="1"/>
        </w:numPr>
        <w:spacing w:after="0" w:line="240" w:lineRule="auto"/>
        <w:rPr>
          <w:rFonts w:ascii="Candara" w:hAnsi="Candara"/>
        </w:rPr>
      </w:pPr>
      <w:r w:rsidRPr="002D72CF">
        <w:rPr>
          <w:rFonts w:ascii="Candara" w:hAnsi="Candara"/>
        </w:rPr>
        <w:t>Apply the techniques of Failure Mode</w:t>
      </w:r>
      <w:r>
        <w:rPr>
          <w:rFonts w:ascii="Candara" w:hAnsi="Candara"/>
        </w:rPr>
        <w:t xml:space="preserve"> </w:t>
      </w:r>
      <w:r w:rsidRPr="002D72CF">
        <w:rPr>
          <w:rFonts w:ascii="Candara" w:hAnsi="Candara"/>
        </w:rPr>
        <w:t>and Effects Analysis (FMEA)</w:t>
      </w:r>
    </w:p>
    <w:p w14:paraId="7E04365E" w14:textId="77777777" w:rsidR="00E547A5" w:rsidRPr="002D72CF" w:rsidRDefault="00E547A5" w:rsidP="00E547A5">
      <w:pPr>
        <w:numPr>
          <w:ilvl w:val="0"/>
          <w:numId w:val="1"/>
        </w:numPr>
        <w:spacing w:after="0" w:line="240" w:lineRule="auto"/>
        <w:rPr>
          <w:rFonts w:ascii="Candara" w:hAnsi="Candara"/>
        </w:rPr>
      </w:pPr>
      <w:r w:rsidRPr="002D72CF">
        <w:rPr>
          <w:rFonts w:ascii="Candara" w:hAnsi="Candara"/>
        </w:rPr>
        <w:t>Learn how FDA addresses medication</w:t>
      </w:r>
      <w:r>
        <w:rPr>
          <w:rFonts w:ascii="Candara" w:hAnsi="Candara"/>
        </w:rPr>
        <w:t xml:space="preserve"> </w:t>
      </w:r>
      <w:r w:rsidRPr="002D72CF">
        <w:rPr>
          <w:rFonts w:ascii="Candara" w:hAnsi="Candara"/>
        </w:rPr>
        <w:t>error related issues associated with</w:t>
      </w:r>
      <w:r>
        <w:rPr>
          <w:rFonts w:ascii="Candara" w:hAnsi="Candara"/>
        </w:rPr>
        <w:t xml:space="preserve"> </w:t>
      </w:r>
      <w:r w:rsidRPr="002D72CF">
        <w:rPr>
          <w:rFonts w:ascii="Candara" w:hAnsi="Candara"/>
        </w:rPr>
        <w:t>marketed drug products</w:t>
      </w:r>
    </w:p>
    <w:p w14:paraId="7453756F" w14:textId="77777777" w:rsidR="00E547A5" w:rsidRPr="002D72CF" w:rsidRDefault="00E547A5" w:rsidP="00E547A5">
      <w:pPr>
        <w:numPr>
          <w:ilvl w:val="0"/>
          <w:numId w:val="1"/>
        </w:numPr>
        <w:spacing w:after="0" w:line="240" w:lineRule="auto"/>
        <w:rPr>
          <w:rFonts w:ascii="Candara" w:hAnsi="Candara"/>
        </w:rPr>
      </w:pPr>
      <w:r w:rsidRPr="002D72CF">
        <w:rPr>
          <w:rFonts w:ascii="Candara" w:hAnsi="Candara"/>
        </w:rPr>
        <w:t>Participate in original research and surveys on medication errors and prevention</w:t>
      </w:r>
    </w:p>
    <w:p w14:paraId="5F77FD80" w14:textId="77777777" w:rsidR="00E547A5" w:rsidRPr="002D72CF" w:rsidRDefault="00E547A5" w:rsidP="00E547A5">
      <w:pPr>
        <w:numPr>
          <w:ilvl w:val="0"/>
          <w:numId w:val="1"/>
        </w:numPr>
        <w:spacing w:after="0" w:line="240" w:lineRule="auto"/>
        <w:rPr>
          <w:rFonts w:ascii="Candara" w:hAnsi="Candara"/>
        </w:rPr>
      </w:pPr>
      <w:r w:rsidRPr="002D72CF">
        <w:rPr>
          <w:rFonts w:ascii="Candara" w:hAnsi="Candara"/>
        </w:rPr>
        <w:t>Network with pharmaceutical, healthcare, legislative, and regulatory communities</w:t>
      </w:r>
    </w:p>
    <w:p w14:paraId="1945002D" w14:textId="77777777" w:rsidR="00E547A5" w:rsidRPr="002D72CF" w:rsidRDefault="00E547A5" w:rsidP="00E547A5">
      <w:pPr>
        <w:numPr>
          <w:ilvl w:val="0"/>
          <w:numId w:val="1"/>
        </w:numPr>
        <w:spacing w:after="0" w:line="240" w:lineRule="auto"/>
        <w:rPr>
          <w:rFonts w:ascii="Candara" w:hAnsi="Candara"/>
        </w:rPr>
      </w:pPr>
      <w:r w:rsidRPr="002D72CF">
        <w:rPr>
          <w:rFonts w:ascii="Candara" w:hAnsi="Candara"/>
        </w:rPr>
        <w:t>Learn about worldwide medication‐system problems and prevention programs</w:t>
      </w:r>
    </w:p>
    <w:p w14:paraId="069DAFBB" w14:textId="77777777" w:rsidR="00E547A5" w:rsidRPr="002D72CF" w:rsidRDefault="00E547A5" w:rsidP="00E547A5">
      <w:pPr>
        <w:spacing w:after="0" w:line="240" w:lineRule="auto"/>
        <w:ind w:left="720"/>
        <w:rPr>
          <w:rFonts w:ascii="Candara" w:hAnsi="Candara"/>
        </w:rPr>
      </w:pPr>
    </w:p>
    <w:p w14:paraId="3A4CBC8F" w14:textId="353EF370" w:rsidR="0094526E" w:rsidRPr="0045408A" w:rsidRDefault="0094526E" w:rsidP="00E90332">
      <w:pPr>
        <w:rPr>
          <w:rFonts w:cstheme="minorHAnsi"/>
          <w:b/>
          <w:color w:val="2F5496" w:themeColor="accent1" w:themeShade="BF"/>
          <w:sz w:val="24"/>
          <w:szCs w:val="24"/>
        </w:rPr>
      </w:pPr>
      <w:r w:rsidRPr="0045408A">
        <w:rPr>
          <w:rFonts w:cstheme="minorHAnsi"/>
          <w:b/>
          <w:color w:val="2F5496" w:themeColor="accent1" w:themeShade="BF"/>
          <w:sz w:val="24"/>
          <w:szCs w:val="24"/>
        </w:rPr>
        <w:t xml:space="preserve">ABOUT FDA </w:t>
      </w:r>
    </w:p>
    <w:p w14:paraId="47342F2D" w14:textId="055F9C6E" w:rsidR="0094526E" w:rsidRDefault="0094526E" w:rsidP="0094526E">
      <w:pPr>
        <w:rPr>
          <w:rFonts w:cstheme="minorHAnsi"/>
          <w:sz w:val="24"/>
          <w:szCs w:val="24"/>
        </w:rPr>
      </w:pPr>
      <w:r w:rsidRPr="0094526E">
        <w:rPr>
          <w:rFonts w:cstheme="minorHAnsi"/>
          <w:sz w:val="24"/>
          <w:szCs w:val="24"/>
        </w:rPr>
        <w:t xml:space="preserve">The </w:t>
      </w:r>
      <w:r w:rsidRPr="002B0A2C">
        <w:rPr>
          <w:rFonts w:cstheme="minorHAnsi"/>
          <w:sz w:val="24"/>
          <w:szCs w:val="24"/>
        </w:rPr>
        <w:t xml:space="preserve">FDA’s Center for Drug Evaluation and Research, the Office of Surveillance and Epidemiology, and the Office of Medication Error Prevention and Risk Management perform essential public health tasks by making sure that safe and effective drugs are available to improve the health of people in the U.S.  The </w:t>
      </w:r>
      <w:r w:rsidRPr="005C6D73">
        <w:rPr>
          <w:rFonts w:cstheme="minorHAnsi"/>
          <w:sz w:val="24"/>
          <w:szCs w:val="24"/>
        </w:rPr>
        <w:t>Division</w:t>
      </w:r>
      <w:r w:rsidR="002B0A2C" w:rsidRPr="005C6D73">
        <w:rPr>
          <w:rFonts w:cstheme="minorHAnsi"/>
          <w:sz w:val="24"/>
          <w:szCs w:val="24"/>
        </w:rPr>
        <w:t>s</w:t>
      </w:r>
      <w:r w:rsidRPr="005C6D73">
        <w:rPr>
          <w:rFonts w:cstheme="minorHAnsi"/>
          <w:sz w:val="24"/>
          <w:szCs w:val="24"/>
        </w:rPr>
        <w:t xml:space="preserve"> of</w:t>
      </w:r>
      <w:r w:rsidRPr="002B0A2C">
        <w:rPr>
          <w:rFonts w:cstheme="minorHAnsi"/>
          <w:sz w:val="24"/>
          <w:szCs w:val="24"/>
        </w:rPr>
        <w:t xml:space="preserve"> Medication Error Prevention and Analysis </w:t>
      </w:r>
      <w:r w:rsidR="002B0A2C">
        <w:rPr>
          <w:rFonts w:cstheme="minorHAnsi"/>
          <w:sz w:val="24"/>
          <w:szCs w:val="24"/>
        </w:rPr>
        <w:t>I</w:t>
      </w:r>
      <w:r w:rsidRPr="002B0A2C">
        <w:rPr>
          <w:rFonts w:cstheme="minorHAnsi"/>
          <w:sz w:val="24"/>
          <w:szCs w:val="24"/>
        </w:rPr>
        <w:t xml:space="preserve"> and </w:t>
      </w:r>
      <w:r w:rsidR="002B0A2C">
        <w:rPr>
          <w:rFonts w:cstheme="minorHAnsi"/>
          <w:sz w:val="24"/>
          <w:szCs w:val="24"/>
        </w:rPr>
        <w:t>II</w:t>
      </w:r>
      <w:r w:rsidRPr="002B0A2C">
        <w:rPr>
          <w:rFonts w:cstheme="minorHAnsi"/>
          <w:sz w:val="24"/>
          <w:szCs w:val="24"/>
        </w:rPr>
        <w:t xml:space="preserve"> (DMEPA</w:t>
      </w:r>
      <w:r w:rsidR="002B0A2C">
        <w:rPr>
          <w:rFonts w:cstheme="minorHAnsi"/>
          <w:sz w:val="24"/>
          <w:szCs w:val="24"/>
        </w:rPr>
        <w:t xml:space="preserve"> I</w:t>
      </w:r>
      <w:r w:rsidRPr="002B0A2C">
        <w:rPr>
          <w:rFonts w:cstheme="minorHAnsi"/>
          <w:sz w:val="24"/>
          <w:szCs w:val="24"/>
        </w:rPr>
        <w:t xml:space="preserve"> &amp; DMEPA </w:t>
      </w:r>
      <w:r w:rsidR="002B0A2C">
        <w:rPr>
          <w:rFonts w:cstheme="minorHAnsi"/>
          <w:sz w:val="24"/>
          <w:szCs w:val="24"/>
        </w:rPr>
        <w:t>II</w:t>
      </w:r>
      <w:r w:rsidRPr="002B0A2C">
        <w:rPr>
          <w:rFonts w:cstheme="minorHAnsi"/>
          <w:sz w:val="24"/>
          <w:szCs w:val="24"/>
        </w:rPr>
        <w:t xml:space="preserve">) </w:t>
      </w:r>
      <w:r w:rsidRPr="00DA5AB7">
        <w:rPr>
          <w:rFonts w:cstheme="minorHAnsi"/>
          <w:sz w:val="24"/>
          <w:szCs w:val="24"/>
        </w:rPr>
        <w:t xml:space="preserve">are primarily responsible for the premarket review of proposed proprietary medication names, labels/labeling, packaging, and Human Factor Studies to identify, evaluate, and minimize the potential for medication errors for CDER-regulated products. DMEPA serves as the scientific and policy lead for CDER’s proprietary naming and human factors programs. DMEPA also leads the review of and designates nonproprietary name suffixes for all CDER biological nonproprietary names. </w:t>
      </w:r>
      <w:r w:rsidR="00DA5AB7" w:rsidRPr="00DA5AB7">
        <w:rPr>
          <w:rFonts w:cstheme="minorHAnsi"/>
          <w:sz w:val="24"/>
          <w:szCs w:val="24"/>
        </w:rPr>
        <w:t xml:space="preserve"> DMEPA also works closely with federal partners, patient safety organizations (e.g., Institute for Safe Medication Practices [ISMP]), standard setting organizations and foreign regulators to address broader product safety issues.</w:t>
      </w:r>
    </w:p>
    <w:p w14:paraId="12DD33B8" w14:textId="44ADA0DD" w:rsidR="002A1B0E" w:rsidRPr="0045408A" w:rsidRDefault="002A1B0E" w:rsidP="00E90332">
      <w:pPr>
        <w:rPr>
          <w:rFonts w:cstheme="minorHAnsi"/>
          <w:color w:val="2F5496" w:themeColor="accent1" w:themeShade="BF"/>
          <w:sz w:val="24"/>
          <w:szCs w:val="24"/>
        </w:rPr>
      </w:pPr>
      <w:r w:rsidRPr="0045408A">
        <w:rPr>
          <w:rFonts w:cstheme="minorHAnsi"/>
          <w:b/>
          <w:color w:val="2F5496" w:themeColor="accent1" w:themeShade="BF"/>
          <w:sz w:val="24"/>
          <w:szCs w:val="24"/>
        </w:rPr>
        <w:t>ABOUT ISMP</w:t>
      </w:r>
    </w:p>
    <w:p w14:paraId="1FA707A9" w14:textId="7C630E84" w:rsidR="0094526E" w:rsidRPr="00DA5AB7" w:rsidRDefault="0094526E" w:rsidP="0094526E">
      <w:pPr>
        <w:rPr>
          <w:rFonts w:cstheme="minorHAnsi"/>
          <w:sz w:val="24"/>
          <w:szCs w:val="24"/>
        </w:rPr>
      </w:pPr>
      <w:r w:rsidRPr="00DA5AB7">
        <w:rPr>
          <w:rFonts w:cstheme="minorHAnsi"/>
          <w:sz w:val="24"/>
          <w:szCs w:val="24"/>
        </w:rPr>
        <w:t>ISMP is the nation’s only 501</w:t>
      </w:r>
      <w:proofErr w:type="gramStart"/>
      <w:r w:rsidRPr="00DA5AB7">
        <w:rPr>
          <w:rFonts w:cstheme="minorHAnsi"/>
          <w:sz w:val="24"/>
          <w:szCs w:val="24"/>
        </w:rPr>
        <w:t>c(</w:t>
      </w:r>
      <w:proofErr w:type="gramEnd"/>
      <w:r w:rsidRPr="00DA5AB7">
        <w:rPr>
          <w:rFonts w:cstheme="minorHAnsi"/>
          <w:sz w:val="24"/>
          <w:szCs w:val="24"/>
        </w:rPr>
        <w:t xml:space="preserve">3) nonprofit organization devoted entirely to medication error prevention and safe medication use. ISMP represents more than 30 years of experience in helping healthcare practitioners keep patients </w:t>
      </w:r>
      <w:proofErr w:type="gramStart"/>
      <w:r w:rsidRPr="00DA5AB7">
        <w:rPr>
          <w:rFonts w:cstheme="minorHAnsi"/>
          <w:sz w:val="24"/>
          <w:szCs w:val="24"/>
        </w:rPr>
        <w:t>safe, and</w:t>
      </w:r>
      <w:proofErr w:type="gramEnd"/>
      <w:r w:rsidRPr="00DA5AB7">
        <w:rPr>
          <w:rFonts w:cstheme="minorHAnsi"/>
          <w:sz w:val="24"/>
          <w:szCs w:val="24"/>
        </w:rPr>
        <w:t xml:space="preserve"> continues to lead efforts to improve the medication-use process. The organization is known and respected worldwide as the premier resource for impartial, timely, and accurate medication safety information.</w:t>
      </w:r>
    </w:p>
    <w:p w14:paraId="7F30EB90" w14:textId="7CD76A6C" w:rsidR="00DA5AB7" w:rsidRPr="0094526E" w:rsidRDefault="00DA5AB7" w:rsidP="0094526E">
      <w:pPr>
        <w:rPr>
          <w:rFonts w:cstheme="minorHAnsi"/>
          <w:sz w:val="24"/>
          <w:szCs w:val="24"/>
        </w:rPr>
      </w:pPr>
      <w:r w:rsidRPr="00DA5AB7">
        <w:rPr>
          <w:rFonts w:cstheme="minorHAnsi"/>
          <w:sz w:val="24"/>
          <w:szCs w:val="24"/>
        </w:rPr>
        <w:t xml:space="preserve">ISMP’s highly effective initiatives, which are built upon a non-punitive approach and system-based solutions, fall into five key areas: knowledge, analysis, education, cooperation, and communication. More than 30 years ago, ISMP started a cornerstone of its medication error prevention efforts—a voluntary practitioner error-reporting program to learn about errors </w:t>
      </w:r>
      <w:r w:rsidRPr="00DA5AB7">
        <w:rPr>
          <w:rFonts w:cstheme="minorHAnsi"/>
          <w:sz w:val="24"/>
          <w:szCs w:val="24"/>
        </w:rPr>
        <w:lastRenderedPageBreak/>
        <w:t>happening across the nation, understand their causes, and share “lessons learned” with the healthcare community. Each year, the National Medication Errors Reporting Program (MERP), operated by ISMP, receives hundreds of error reports from healthcare professionals. The Institute is also an official MedWatch partner with the U.S. Food and Drug Administration.</w:t>
      </w:r>
    </w:p>
    <w:p w14:paraId="3F11A4CA" w14:textId="77777777" w:rsidR="0094526E" w:rsidRPr="0094526E" w:rsidRDefault="0094526E" w:rsidP="0094526E">
      <w:pPr>
        <w:spacing w:after="0" w:line="240" w:lineRule="auto"/>
        <w:rPr>
          <w:rFonts w:cstheme="minorHAnsi"/>
          <w:b/>
          <w:sz w:val="24"/>
          <w:szCs w:val="24"/>
        </w:rPr>
      </w:pPr>
    </w:p>
    <w:p w14:paraId="252AA351" w14:textId="781C5E2B" w:rsidR="002D72CF" w:rsidRPr="0045408A" w:rsidRDefault="002D72CF" w:rsidP="002D72CF">
      <w:pPr>
        <w:rPr>
          <w:rFonts w:cstheme="minorHAnsi"/>
          <w:b/>
          <w:bCs/>
          <w:color w:val="2F5496" w:themeColor="accent1" w:themeShade="BF"/>
          <w:sz w:val="24"/>
          <w:szCs w:val="24"/>
        </w:rPr>
      </w:pPr>
      <w:r w:rsidRPr="0045408A">
        <w:rPr>
          <w:rFonts w:cstheme="minorHAnsi"/>
          <w:b/>
          <w:bCs/>
          <w:color w:val="2F5496" w:themeColor="accent1" w:themeShade="BF"/>
          <w:sz w:val="24"/>
          <w:szCs w:val="24"/>
        </w:rPr>
        <w:t>Candidate Qualifications and Compensation</w:t>
      </w:r>
    </w:p>
    <w:p w14:paraId="7040BEE0" w14:textId="6CFDB941" w:rsidR="002D72CF" w:rsidRDefault="002D72CF" w:rsidP="002D72CF">
      <w:pPr>
        <w:rPr>
          <w:rFonts w:cstheme="minorHAnsi"/>
          <w:sz w:val="24"/>
          <w:szCs w:val="24"/>
        </w:rPr>
      </w:pPr>
      <w:r w:rsidRPr="002D72CF">
        <w:rPr>
          <w:rFonts w:cstheme="minorHAnsi"/>
          <w:sz w:val="24"/>
          <w:szCs w:val="24"/>
        </w:rPr>
        <w:t>Applicants must be healthcare</w:t>
      </w:r>
      <w:r>
        <w:rPr>
          <w:rFonts w:cstheme="minorHAnsi"/>
          <w:sz w:val="24"/>
          <w:szCs w:val="24"/>
        </w:rPr>
        <w:t xml:space="preserve"> </w:t>
      </w:r>
      <w:r w:rsidRPr="002D72CF">
        <w:rPr>
          <w:rFonts w:cstheme="minorHAnsi"/>
          <w:sz w:val="24"/>
          <w:szCs w:val="24"/>
        </w:rPr>
        <w:t>professionals who received their</w:t>
      </w:r>
      <w:r>
        <w:rPr>
          <w:rFonts w:cstheme="minorHAnsi"/>
          <w:sz w:val="24"/>
          <w:szCs w:val="24"/>
        </w:rPr>
        <w:t xml:space="preserve"> </w:t>
      </w:r>
      <w:r w:rsidRPr="002E2BD7">
        <w:rPr>
          <w:rFonts w:cstheme="minorHAnsi"/>
          <w:b/>
          <w:bCs/>
          <w:sz w:val="24"/>
          <w:szCs w:val="24"/>
        </w:rPr>
        <w:t>degree within the last sixty (60)</w:t>
      </w:r>
      <w:r w:rsidR="002E2BD7" w:rsidRPr="002E2BD7">
        <w:rPr>
          <w:rFonts w:cstheme="minorHAnsi"/>
          <w:b/>
          <w:bCs/>
          <w:sz w:val="24"/>
          <w:szCs w:val="24"/>
        </w:rPr>
        <w:t xml:space="preserve"> </w:t>
      </w:r>
      <w:r w:rsidRPr="002E2BD7">
        <w:rPr>
          <w:rFonts w:cstheme="minorHAnsi"/>
          <w:b/>
          <w:bCs/>
          <w:sz w:val="24"/>
          <w:szCs w:val="24"/>
        </w:rPr>
        <w:t>months (5 years)</w:t>
      </w:r>
      <w:r w:rsidRPr="002D72CF">
        <w:rPr>
          <w:rFonts w:cstheme="minorHAnsi"/>
          <w:sz w:val="24"/>
          <w:szCs w:val="24"/>
        </w:rPr>
        <w:t xml:space="preserve"> and who </w:t>
      </w:r>
      <w:r w:rsidRPr="002E2BD7">
        <w:rPr>
          <w:rFonts w:cstheme="minorHAnsi"/>
          <w:sz w:val="24"/>
          <w:szCs w:val="24"/>
        </w:rPr>
        <w:t xml:space="preserve">have </w:t>
      </w:r>
      <w:r w:rsidRPr="002E2BD7">
        <w:rPr>
          <w:rFonts w:cstheme="minorHAnsi"/>
          <w:b/>
          <w:bCs/>
          <w:sz w:val="24"/>
          <w:szCs w:val="24"/>
        </w:rPr>
        <w:t>at least one year of postgraduate experience</w:t>
      </w:r>
      <w:r w:rsidRPr="002D72CF">
        <w:rPr>
          <w:rFonts w:cstheme="minorHAnsi"/>
          <w:sz w:val="24"/>
          <w:szCs w:val="24"/>
        </w:rPr>
        <w:t xml:space="preserve"> working in a </w:t>
      </w:r>
      <w:r>
        <w:rPr>
          <w:rFonts w:cstheme="minorHAnsi"/>
          <w:sz w:val="24"/>
          <w:szCs w:val="24"/>
        </w:rPr>
        <w:t>h</w:t>
      </w:r>
      <w:r w:rsidRPr="002D72CF">
        <w:rPr>
          <w:rFonts w:cstheme="minorHAnsi"/>
          <w:sz w:val="24"/>
          <w:szCs w:val="24"/>
        </w:rPr>
        <w:t>ealthcare</w:t>
      </w:r>
      <w:r>
        <w:rPr>
          <w:rFonts w:cstheme="minorHAnsi"/>
          <w:sz w:val="24"/>
          <w:szCs w:val="24"/>
        </w:rPr>
        <w:t xml:space="preserve"> </w:t>
      </w:r>
      <w:r w:rsidRPr="002D72CF">
        <w:rPr>
          <w:rFonts w:cstheme="minorHAnsi"/>
          <w:sz w:val="24"/>
          <w:szCs w:val="24"/>
        </w:rPr>
        <w:t>setting or completed a residency</w:t>
      </w:r>
      <w:r>
        <w:rPr>
          <w:rFonts w:cstheme="minorHAnsi"/>
          <w:sz w:val="24"/>
          <w:szCs w:val="24"/>
        </w:rPr>
        <w:t xml:space="preserve"> </w:t>
      </w:r>
      <w:r w:rsidRPr="002D72CF">
        <w:rPr>
          <w:rFonts w:cstheme="minorHAnsi"/>
          <w:sz w:val="24"/>
          <w:szCs w:val="24"/>
        </w:rPr>
        <w:t>program. Pharmacists, physicians,</w:t>
      </w:r>
      <w:r>
        <w:rPr>
          <w:rFonts w:cstheme="minorHAnsi"/>
          <w:sz w:val="24"/>
          <w:szCs w:val="24"/>
        </w:rPr>
        <w:t xml:space="preserve"> </w:t>
      </w:r>
      <w:r w:rsidRPr="002D72CF">
        <w:rPr>
          <w:rFonts w:cstheme="minorHAnsi"/>
          <w:sz w:val="24"/>
          <w:szCs w:val="24"/>
        </w:rPr>
        <w:t xml:space="preserve">physician </w:t>
      </w:r>
      <w:r>
        <w:rPr>
          <w:rFonts w:cstheme="minorHAnsi"/>
          <w:sz w:val="24"/>
          <w:szCs w:val="24"/>
        </w:rPr>
        <w:t>a</w:t>
      </w:r>
      <w:r w:rsidRPr="002D72CF">
        <w:rPr>
          <w:rFonts w:cstheme="minorHAnsi"/>
          <w:sz w:val="24"/>
          <w:szCs w:val="24"/>
        </w:rPr>
        <w:t>ssistants, nurse</w:t>
      </w:r>
      <w:r>
        <w:rPr>
          <w:rFonts w:cstheme="minorHAnsi"/>
          <w:sz w:val="24"/>
          <w:szCs w:val="24"/>
        </w:rPr>
        <w:t xml:space="preserve"> </w:t>
      </w:r>
      <w:r w:rsidRPr="002D72CF">
        <w:rPr>
          <w:rFonts w:cstheme="minorHAnsi"/>
          <w:sz w:val="24"/>
          <w:szCs w:val="24"/>
        </w:rPr>
        <w:t>practitioners, and nurses with risk</w:t>
      </w:r>
      <w:r>
        <w:rPr>
          <w:rFonts w:cstheme="minorHAnsi"/>
          <w:sz w:val="24"/>
          <w:szCs w:val="24"/>
        </w:rPr>
        <w:t xml:space="preserve"> </w:t>
      </w:r>
      <w:r w:rsidRPr="002D72CF">
        <w:rPr>
          <w:rFonts w:cstheme="minorHAnsi"/>
          <w:sz w:val="24"/>
          <w:szCs w:val="24"/>
        </w:rPr>
        <w:t>management, quality improvement,</w:t>
      </w:r>
      <w:r>
        <w:rPr>
          <w:rFonts w:cstheme="minorHAnsi"/>
          <w:sz w:val="24"/>
          <w:szCs w:val="24"/>
        </w:rPr>
        <w:t xml:space="preserve"> </w:t>
      </w:r>
      <w:r w:rsidRPr="002D72CF">
        <w:rPr>
          <w:rFonts w:cstheme="minorHAnsi"/>
          <w:sz w:val="24"/>
          <w:szCs w:val="24"/>
        </w:rPr>
        <w:t>or patient safety experience are</w:t>
      </w:r>
      <w:r>
        <w:rPr>
          <w:rFonts w:cstheme="minorHAnsi"/>
          <w:sz w:val="24"/>
          <w:szCs w:val="24"/>
        </w:rPr>
        <w:t xml:space="preserve"> </w:t>
      </w:r>
      <w:r w:rsidRPr="002D72CF">
        <w:rPr>
          <w:rFonts w:cstheme="minorHAnsi"/>
          <w:sz w:val="24"/>
          <w:szCs w:val="24"/>
        </w:rPr>
        <w:t>welcome to apply. FDA and ISMP</w:t>
      </w:r>
      <w:r>
        <w:rPr>
          <w:rFonts w:cstheme="minorHAnsi"/>
          <w:sz w:val="24"/>
          <w:szCs w:val="24"/>
        </w:rPr>
        <w:t xml:space="preserve"> </w:t>
      </w:r>
      <w:r w:rsidRPr="002D72CF">
        <w:rPr>
          <w:rFonts w:cstheme="minorHAnsi"/>
          <w:sz w:val="24"/>
          <w:szCs w:val="24"/>
        </w:rPr>
        <w:t>seek dedicated individuals with a</w:t>
      </w:r>
      <w:r>
        <w:rPr>
          <w:rFonts w:cstheme="minorHAnsi"/>
          <w:sz w:val="24"/>
          <w:szCs w:val="24"/>
        </w:rPr>
        <w:t xml:space="preserve"> </w:t>
      </w:r>
      <w:r w:rsidRPr="002D72CF">
        <w:rPr>
          <w:rFonts w:cstheme="minorHAnsi"/>
          <w:sz w:val="24"/>
          <w:szCs w:val="24"/>
        </w:rPr>
        <w:t>strong commitment to improving</w:t>
      </w:r>
      <w:r>
        <w:rPr>
          <w:rFonts w:cstheme="minorHAnsi"/>
          <w:sz w:val="24"/>
          <w:szCs w:val="24"/>
        </w:rPr>
        <w:t xml:space="preserve"> </w:t>
      </w:r>
      <w:r w:rsidRPr="002D72CF">
        <w:rPr>
          <w:rFonts w:cstheme="minorHAnsi"/>
          <w:sz w:val="24"/>
          <w:szCs w:val="24"/>
        </w:rPr>
        <w:t>medication safety, the ability to work</w:t>
      </w:r>
      <w:r>
        <w:rPr>
          <w:rFonts w:cstheme="minorHAnsi"/>
          <w:sz w:val="24"/>
          <w:szCs w:val="24"/>
        </w:rPr>
        <w:t xml:space="preserve"> </w:t>
      </w:r>
      <w:r w:rsidRPr="002D72CF">
        <w:rPr>
          <w:rFonts w:cstheme="minorHAnsi"/>
          <w:sz w:val="24"/>
          <w:szCs w:val="24"/>
        </w:rPr>
        <w:t>in a fast‐paced and often‐changing</w:t>
      </w:r>
      <w:r>
        <w:rPr>
          <w:rFonts w:cstheme="minorHAnsi"/>
          <w:sz w:val="24"/>
          <w:szCs w:val="24"/>
        </w:rPr>
        <w:t xml:space="preserve"> </w:t>
      </w:r>
      <w:r w:rsidRPr="002D72CF">
        <w:rPr>
          <w:rFonts w:cstheme="minorHAnsi"/>
          <w:sz w:val="24"/>
          <w:szCs w:val="24"/>
        </w:rPr>
        <w:t>environment, and a high comfort</w:t>
      </w:r>
      <w:r>
        <w:rPr>
          <w:rFonts w:cstheme="minorHAnsi"/>
          <w:sz w:val="24"/>
          <w:szCs w:val="24"/>
        </w:rPr>
        <w:t xml:space="preserve"> </w:t>
      </w:r>
      <w:r w:rsidRPr="002D72CF">
        <w:rPr>
          <w:rFonts w:cstheme="minorHAnsi"/>
          <w:sz w:val="24"/>
          <w:szCs w:val="24"/>
        </w:rPr>
        <w:t>level with working independently or</w:t>
      </w:r>
      <w:r>
        <w:rPr>
          <w:rFonts w:cstheme="minorHAnsi"/>
          <w:sz w:val="24"/>
          <w:szCs w:val="24"/>
        </w:rPr>
        <w:t xml:space="preserve"> </w:t>
      </w:r>
      <w:r w:rsidRPr="002D72CF">
        <w:rPr>
          <w:rFonts w:cstheme="minorHAnsi"/>
          <w:sz w:val="24"/>
          <w:szCs w:val="24"/>
        </w:rPr>
        <w:t>in a collaborative process.</w:t>
      </w:r>
    </w:p>
    <w:p w14:paraId="5A30417E" w14:textId="77777777" w:rsidR="005D0901" w:rsidRDefault="005D0901" w:rsidP="00F22A6B">
      <w:pPr>
        <w:autoSpaceDE w:val="0"/>
        <w:autoSpaceDN w:val="0"/>
        <w:adjustRightInd w:val="0"/>
        <w:spacing w:after="0" w:line="240" w:lineRule="auto"/>
        <w:rPr>
          <w:rFonts w:ascii="Candara" w:hAnsi="Candara" w:cs="Candara"/>
          <w:sz w:val="24"/>
          <w:szCs w:val="24"/>
        </w:rPr>
      </w:pPr>
    </w:p>
    <w:p w14:paraId="1B7B2321" w14:textId="595B1E26" w:rsidR="005D0901" w:rsidRPr="0045408A" w:rsidRDefault="005D0901" w:rsidP="00F22A6B">
      <w:pPr>
        <w:autoSpaceDE w:val="0"/>
        <w:autoSpaceDN w:val="0"/>
        <w:adjustRightInd w:val="0"/>
        <w:spacing w:after="0" w:line="240" w:lineRule="auto"/>
        <w:rPr>
          <w:rFonts w:ascii="Candara" w:hAnsi="Candara" w:cs="Candara"/>
          <w:b/>
          <w:bCs/>
          <w:color w:val="2F5496" w:themeColor="accent1" w:themeShade="BF"/>
          <w:sz w:val="24"/>
          <w:szCs w:val="24"/>
        </w:rPr>
      </w:pPr>
      <w:r w:rsidRPr="0045408A">
        <w:rPr>
          <w:rFonts w:ascii="Candara" w:hAnsi="Candara" w:cs="Candara"/>
          <w:b/>
          <w:bCs/>
          <w:color w:val="2F5496" w:themeColor="accent1" w:themeShade="BF"/>
          <w:sz w:val="24"/>
          <w:szCs w:val="24"/>
        </w:rPr>
        <w:t>Fellowship Benefits</w:t>
      </w:r>
    </w:p>
    <w:p w14:paraId="2C9E83F5" w14:textId="422DF42A" w:rsidR="005D0901" w:rsidRPr="00A31272" w:rsidRDefault="00F65B2B" w:rsidP="00F65B2B">
      <w:pPr>
        <w:pStyle w:val="ListParagraph"/>
        <w:numPr>
          <w:ilvl w:val="0"/>
          <w:numId w:val="2"/>
        </w:numPr>
        <w:autoSpaceDE w:val="0"/>
        <w:autoSpaceDN w:val="0"/>
        <w:adjustRightInd w:val="0"/>
        <w:spacing w:after="0" w:line="240" w:lineRule="auto"/>
        <w:rPr>
          <w:rFonts w:cstheme="minorHAnsi"/>
          <w:sz w:val="24"/>
          <w:szCs w:val="24"/>
        </w:rPr>
      </w:pPr>
      <w:r w:rsidRPr="00A31272">
        <w:rPr>
          <w:rFonts w:cstheme="minorHAnsi"/>
          <w:sz w:val="24"/>
          <w:szCs w:val="24"/>
        </w:rPr>
        <w:t>Competitive stipend – awarded as monthly payments for the duration of the appointment.</w:t>
      </w:r>
    </w:p>
    <w:p w14:paraId="77FCCE57" w14:textId="0278BBD6" w:rsidR="007D28AD" w:rsidRPr="00A31272" w:rsidRDefault="007D28AD" w:rsidP="00F65B2B">
      <w:pPr>
        <w:pStyle w:val="ListParagraph"/>
        <w:numPr>
          <w:ilvl w:val="0"/>
          <w:numId w:val="2"/>
        </w:numPr>
        <w:autoSpaceDE w:val="0"/>
        <w:autoSpaceDN w:val="0"/>
        <w:adjustRightInd w:val="0"/>
        <w:spacing w:after="0" w:line="240" w:lineRule="auto"/>
        <w:rPr>
          <w:rFonts w:cstheme="minorHAnsi"/>
          <w:sz w:val="24"/>
          <w:szCs w:val="24"/>
        </w:rPr>
      </w:pPr>
      <w:r w:rsidRPr="00A31272">
        <w:rPr>
          <w:rFonts w:cstheme="minorHAnsi"/>
          <w:sz w:val="24"/>
          <w:szCs w:val="24"/>
        </w:rPr>
        <w:t>Supplement to offset the cost of obtaining health insurance coverage</w:t>
      </w:r>
      <w:r w:rsidR="007059BB" w:rsidRPr="00A31272">
        <w:rPr>
          <w:rFonts w:cstheme="minorHAnsi"/>
          <w:sz w:val="24"/>
          <w:szCs w:val="24"/>
        </w:rPr>
        <w:t>.</w:t>
      </w:r>
    </w:p>
    <w:p w14:paraId="56008ACD" w14:textId="0C664794" w:rsidR="007360E4" w:rsidRPr="00A31272" w:rsidRDefault="007360E4" w:rsidP="007360E4">
      <w:pPr>
        <w:pStyle w:val="ListParagraph"/>
        <w:numPr>
          <w:ilvl w:val="0"/>
          <w:numId w:val="2"/>
        </w:numPr>
        <w:autoSpaceDE w:val="0"/>
        <w:autoSpaceDN w:val="0"/>
        <w:adjustRightInd w:val="0"/>
        <w:spacing w:after="0" w:line="240" w:lineRule="auto"/>
        <w:rPr>
          <w:rFonts w:cstheme="minorHAnsi"/>
          <w:sz w:val="24"/>
          <w:szCs w:val="24"/>
        </w:rPr>
      </w:pPr>
      <w:r w:rsidRPr="00A31272">
        <w:rPr>
          <w:rFonts w:cstheme="minorHAnsi"/>
          <w:sz w:val="24"/>
          <w:szCs w:val="24"/>
        </w:rPr>
        <w:t>Vacation and Federal holidays</w:t>
      </w:r>
    </w:p>
    <w:p w14:paraId="50BD7C95" w14:textId="77777777" w:rsidR="00F22A6B" w:rsidRDefault="00F22A6B" w:rsidP="00F22A6B">
      <w:pPr>
        <w:autoSpaceDE w:val="0"/>
        <w:autoSpaceDN w:val="0"/>
        <w:adjustRightInd w:val="0"/>
        <w:spacing w:after="0" w:line="240" w:lineRule="auto"/>
        <w:rPr>
          <w:rFonts w:cstheme="minorHAnsi"/>
          <w:sz w:val="24"/>
          <w:szCs w:val="24"/>
        </w:rPr>
      </w:pPr>
    </w:p>
    <w:p w14:paraId="160F39A7" w14:textId="52AE0D3E" w:rsidR="002D72CF" w:rsidRPr="0045408A" w:rsidRDefault="002D72CF" w:rsidP="002D72CF">
      <w:pPr>
        <w:rPr>
          <w:rFonts w:cstheme="minorHAnsi"/>
          <w:b/>
          <w:bCs/>
          <w:color w:val="2F5496" w:themeColor="accent1" w:themeShade="BF"/>
          <w:sz w:val="24"/>
          <w:szCs w:val="24"/>
        </w:rPr>
      </w:pPr>
      <w:r w:rsidRPr="0045408A">
        <w:rPr>
          <w:rFonts w:cstheme="minorHAnsi"/>
          <w:b/>
          <w:bCs/>
          <w:color w:val="2F5496" w:themeColor="accent1" w:themeShade="BF"/>
          <w:sz w:val="24"/>
          <w:szCs w:val="24"/>
        </w:rPr>
        <w:t>How to Apply</w:t>
      </w:r>
    </w:p>
    <w:p w14:paraId="3E46072E" w14:textId="308584B8" w:rsidR="00FA30FB" w:rsidRDefault="002B0A2C" w:rsidP="002D72CF">
      <w:pPr>
        <w:rPr>
          <w:rFonts w:cstheme="minorHAnsi"/>
          <w:sz w:val="24"/>
          <w:szCs w:val="24"/>
        </w:rPr>
      </w:pPr>
      <w:r>
        <w:rPr>
          <w:rFonts w:cstheme="minorHAnsi"/>
          <w:sz w:val="24"/>
          <w:szCs w:val="24"/>
        </w:rPr>
        <w:t>A</w:t>
      </w:r>
      <w:r w:rsidR="00FA30FB">
        <w:rPr>
          <w:rFonts w:cstheme="minorHAnsi"/>
          <w:sz w:val="24"/>
          <w:szCs w:val="24"/>
        </w:rPr>
        <w:t xml:space="preserve">ll interested </w:t>
      </w:r>
      <w:r w:rsidR="002D72CF" w:rsidRPr="002D72CF">
        <w:rPr>
          <w:rFonts w:cstheme="minorHAnsi"/>
          <w:sz w:val="24"/>
          <w:szCs w:val="24"/>
        </w:rPr>
        <w:t>applicants must</w:t>
      </w:r>
      <w:r w:rsidR="002D72CF">
        <w:rPr>
          <w:rFonts w:cstheme="minorHAnsi"/>
          <w:sz w:val="24"/>
          <w:szCs w:val="24"/>
        </w:rPr>
        <w:t xml:space="preserve"> </w:t>
      </w:r>
      <w:r w:rsidR="002D72CF" w:rsidRPr="002D72CF">
        <w:rPr>
          <w:rFonts w:cstheme="minorHAnsi"/>
          <w:sz w:val="24"/>
          <w:szCs w:val="24"/>
        </w:rPr>
        <w:t>submit the following to FDA/ORISE</w:t>
      </w:r>
      <w:r w:rsidR="007F2A52">
        <w:rPr>
          <w:rFonts w:cstheme="minorHAnsi"/>
          <w:sz w:val="24"/>
          <w:szCs w:val="24"/>
        </w:rPr>
        <w:t xml:space="preserve"> via </w:t>
      </w:r>
      <w:proofErr w:type="spellStart"/>
      <w:r w:rsidR="007F2A52">
        <w:rPr>
          <w:rFonts w:cstheme="minorHAnsi"/>
          <w:sz w:val="24"/>
          <w:szCs w:val="24"/>
        </w:rPr>
        <w:t>Zintellect</w:t>
      </w:r>
      <w:proofErr w:type="spellEnd"/>
      <w:r w:rsidR="007F2A52">
        <w:rPr>
          <w:rFonts w:cstheme="minorHAnsi"/>
          <w:sz w:val="24"/>
          <w:szCs w:val="24"/>
        </w:rPr>
        <w:t>,</w:t>
      </w:r>
      <w:r w:rsidR="00A761B1">
        <w:rPr>
          <w:rFonts w:cstheme="minorHAnsi"/>
          <w:sz w:val="24"/>
          <w:szCs w:val="24"/>
        </w:rPr>
        <w:t xml:space="preserve"> at </w:t>
      </w:r>
      <w:hyperlink r:id="rId13" w:history="1">
        <w:r w:rsidR="00873F48" w:rsidRPr="00E524FA">
          <w:rPr>
            <w:rStyle w:val="Hyperlink"/>
            <w:rFonts w:cstheme="minorHAnsi"/>
            <w:sz w:val="24"/>
            <w:szCs w:val="24"/>
          </w:rPr>
          <w:t>https://www.zintellect.com/Opportunity/Details/FDA-CDER-2022-0746</w:t>
        </w:r>
      </w:hyperlink>
      <w:r w:rsidR="00FA30FB">
        <w:rPr>
          <w:rFonts w:cstheme="minorHAnsi"/>
          <w:sz w:val="24"/>
          <w:szCs w:val="24"/>
        </w:rPr>
        <w:t>:</w:t>
      </w:r>
    </w:p>
    <w:p w14:paraId="56FA2B08" w14:textId="1CBF6267" w:rsidR="00FA30FB" w:rsidRDefault="00A761B1" w:rsidP="00FA30FB">
      <w:pPr>
        <w:pStyle w:val="ListParagraph"/>
        <w:numPr>
          <w:ilvl w:val="0"/>
          <w:numId w:val="4"/>
        </w:numPr>
        <w:rPr>
          <w:rFonts w:cstheme="minorHAnsi"/>
          <w:sz w:val="24"/>
          <w:szCs w:val="24"/>
        </w:rPr>
      </w:pPr>
      <w:r>
        <w:rPr>
          <w:rFonts w:cstheme="minorHAnsi"/>
          <w:sz w:val="24"/>
          <w:szCs w:val="24"/>
        </w:rPr>
        <w:t xml:space="preserve">An </w:t>
      </w:r>
      <w:r w:rsidR="002D72CF" w:rsidRPr="00FA30FB">
        <w:rPr>
          <w:rFonts w:cstheme="minorHAnsi"/>
          <w:sz w:val="24"/>
          <w:szCs w:val="24"/>
        </w:rPr>
        <w:t>application</w:t>
      </w:r>
      <w:r w:rsidR="00FA39F4">
        <w:rPr>
          <w:rFonts w:cstheme="minorHAnsi"/>
          <w:sz w:val="24"/>
          <w:szCs w:val="24"/>
        </w:rPr>
        <w:t xml:space="preserve"> </w:t>
      </w:r>
    </w:p>
    <w:p w14:paraId="3CBC4A62" w14:textId="77777777" w:rsidR="00FA30FB" w:rsidRDefault="00FA30FB" w:rsidP="00FA30FB">
      <w:pPr>
        <w:pStyle w:val="ListParagraph"/>
        <w:numPr>
          <w:ilvl w:val="0"/>
          <w:numId w:val="4"/>
        </w:numPr>
        <w:rPr>
          <w:rFonts w:cstheme="minorHAnsi"/>
          <w:sz w:val="24"/>
          <w:szCs w:val="24"/>
        </w:rPr>
      </w:pPr>
      <w:r>
        <w:rPr>
          <w:rFonts w:cstheme="minorHAnsi"/>
          <w:sz w:val="24"/>
          <w:szCs w:val="24"/>
        </w:rPr>
        <w:t>T</w:t>
      </w:r>
      <w:r w:rsidR="002D72CF" w:rsidRPr="00FA30FB">
        <w:rPr>
          <w:rFonts w:cstheme="minorHAnsi"/>
          <w:sz w:val="24"/>
          <w:szCs w:val="24"/>
        </w:rPr>
        <w:t>ranscripts</w:t>
      </w:r>
    </w:p>
    <w:p w14:paraId="03DE2328" w14:textId="77777777" w:rsidR="00FA30FB" w:rsidRDefault="00FA30FB" w:rsidP="00FA30FB">
      <w:pPr>
        <w:pStyle w:val="ListParagraph"/>
        <w:numPr>
          <w:ilvl w:val="0"/>
          <w:numId w:val="4"/>
        </w:numPr>
        <w:rPr>
          <w:rFonts w:cstheme="minorHAnsi"/>
          <w:sz w:val="24"/>
          <w:szCs w:val="24"/>
        </w:rPr>
      </w:pPr>
      <w:r>
        <w:rPr>
          <w:rFonts w:cstheme="minorHAnsi"/>
          <w:sz w:val="24"/>
          <w:szCs w:val="24"/>
        </w:rPr>
        <w:t>R</w:t>
      </w:r>
      <w:r w:rsidR="002D72CF" w:rsidRPr="00FA30FB">
        <w:rPr>
          <w:rFonts w:cstheme="minorHAnsi"/>
          <w:sz w:val="24"/>
          <w:szCs w:val="24"/>
        </w:rPr>
        <w:t>esume/CV</w:t>
      </w:r>
    </w:p>
    <w:p w14:paraId="433B32D1" w14:textId="1C77659A" w:rsidR="002D72CF" w:rsidRPr="00FA30FB" w:rsidRDefault="00FA30FB" w:rsidP="00FA30FB">
      <w:pPr>
        <w:pStyle w:val="ListParagraph"/>
        <w:numPr>
          <w:ilvl w:val="0"/>
          <w:numId w:val="4"/>
        </w:numPr>
        <w:rPr>
          <w:rFonts w:cstheme="minorHAnsi"/>
          <w:sz w:val="24"/>
          <w:szCs w:val="24"/>
        </w:rPr>
      </w:pPr>
      <w:r>
        <w:rPr>
          <w:rFonts w:cstheme="minorHAnsi"/>
          <w:sz w:val="24"/>
          <w:szCs w:val="24"/>
        </w:rPr>
        <w:t>O</w:t>
      </w:r>
      <w:r w:rsidR="002D72CF" w:rsidRPr="00FA30FB">
        <w:rPr>
          <w:rFonts w:cstheme="minorHAnsi"/>
          <w:sz w:val="24"/>
          <w:szCs w:val="24"/>
        </w:rPr>
        <w:t>ne educational or professional recommendation</w:t>
      </w:r>
    </w:p>
    <w:p w14:paraId="530D7C9C" w14:textId="07A3CD0F" w:rsidR="002D72CF" w:rsidRDefault="002D72CF" w:rsidP="002D72CF">
      <w:pPr>
        <w:rPr>
          <w:rFonts w:cstheme="minorHAnsi"/>
          <w:sz w:val="24"/>
          <w:szCs w:val="24"/>
        </w:rPr>
      </w:pPr>
      <w:r w:rsidRPr="002D72CF">
        <w:rPr>
          <w:rFonts w:cstheme="minorHAnsi"/>
          <w:sz w:val="24"/>
          <w:szCs w:val="24"/>
        </w:rPr>
        <w:t>The program is administered by the</w:t>
      </w:r>
      <w:r>
        <w:rPr>
          <w:rFonts w:cstheme="minorHAnsi"/>
          <w:sz w:val="24"/>
          <w:szCs w:val="24"/>
        </w:rPr>
        <w:t xml:space="preserve"> </w:t>
      </w:r>
      <w:r w:rsidRPr="002D72CF">
        <w:rPr>
          <w:rFonts w:cstheme="minorHAnsi"/>
          <w:sz w:val="24"/>
          <w:szCs w:val="24"/>
        </w:rPr>
        <w:t>Oak Ridge Institute for Science and</w:t>
      </w:r>
      <w:r>
        <w:rPr>
          <w:rFonts w:cstheme="minorHAnsi"/>
          <w:sz w:val="24"/>
          <w:szCs w:val="24"/>
        </w:rPr>
        <w:t xml:space="preserve"> </w:t>
      </w:r>
      <w:r w:rsidRPr="002D72CF">
        <w:rPr>
          <w:rFonts w:cstheme="minorHAnsi"/>
          <w:sz w:val="24"/>
          <w:szCs w:val="24"/>
        </w:rPr>
        <w:t>Education (ORISE) through an</w:t>
      </w:r>
      <w:r>
        <w:rPr>
          <w:rFonts w:cstheme="minorHAnsi"/>
          <w:sz w:val="24"/>
          <w:szCs w:val="24"/>
        </w:rPr>
        <w:t xml:space="preserve"> </w:t>
      </w:r>
      <w:r w:rsidRPr="002D72CF">
        <w:rPr>
          <w:rFonts w:cstheme="minorHAnsi"/>
          <w:sz w:val="24"/>
          <w:szCs w:val="24"/>
        </w:rPr>
        <w:t>interagency agreement between the</w:t>
      </w:r>
      <w:r>
        <w:rPr>
          <w:rFonts w:cstheme="minorHAnsi"/>
          <w:sz w:val="24"/>
          <w:szCs w:val="24"/>
        </w:rPr>
        <w:t xml:space="preserve"> </w:t>
      </w:r>
      <w:r w:rsidRPr="002D72CF">
        <w:rPr>
          <w:rFonts w:cstheme="minorHAnsi"/>
          <w:sz w:val="24"/>
          <w:szCs w:val="24"/>
        </w:rPr>
        <w:t>U.S. Department of Energy (DOE)</w:t>
      </w:r>
      <w:r>
        <w:rPr>
          <w:rFonts w:cstheme="minorHAnsi"/>
          <w:sz w:val="24"/>
          <w:szCs w:val="24"/>
        </w:rPr>
        <w:t xml:space="preserve"> </w:t>
      </w:r>
      <w:r w:rsidRPr="002D72CF">
        <w:rPr>
          <w:rFonts w:cstheme="minorHAnsi"/>
          <w:sz w:val="24"/>
          <w:szCs w:val="24"/>
        </w:rPr>
        <w:t>and the U.S. Food and Drug</w:t>
      </w:r>
      <w:r>
        <w:rPr>
          <w:rFonts w:cstheme="minorHAnsi"/>
          <w:sz w:val="24"/>
          <w:szCs w:val="24"/>
        </w:rPr>
        <w:t xml:space="preserve"> </w:t>
      </w:r>
      <w:r w:rsidRPr="002D72CF">
        <w:rPr>
          <w:rFonts w:cstheme="minorHAnsi"/>
          <w:sz w:val="24"/>
          <w:szCs w:val="24"/>
        </w:rPr>
        <w:t>Administration (FDA). The fellow is</w:t>
      </w:r>
      <w:r>
        <w:rPr>
          <w:rFonts w:cstheme="minorHAnsi"/>
          <w:sz w:val="24"/>
          <w:szCs w:val="24"/>
        </w:rPr>
        <w:t xml:space="preserve"> </w:t>
      </w:r>
      <w:r w:rsidRPr="002D72CF">
        <w:rPr>
          <w:rFonts w:cstheme="minorHAnsi"/>
          <w:sz w:val="24"/>
          <w:szCs w:val="24"/>
        </w:rPr>
        <w:t>considered a program participant</w:t>
      </w:r>
      <w:r>
        <w:rPr>
          <w:rFonts w:cstheme="minorHAnsi"/>
          <w:sz w:val="24"/>
          <w:szCs w:val="24"/>
        </w:rPr>
        <w:t xml:space="preserve"> </w:t>
      </w:r>
      <w:r w:rsidRPr="002D72CF">
        <w:rPr>
          <w:rFonts w:cstheme="minorHAnsi"/>
          <w:sz w:val="24"/>
          <w:szCs w:val="24"/>
        </w:rPr>
        <w:t>and will not enter into an employee</w:t>
      </w:r>
      <w:r>
        <w:rPr>
          <w:rFonts w:cstheme="minorHAnsi"/>
          <w:sz w:val="24"/>
          <w:szCs w:val="24"/>
        </w:rPr>
        <w:t xml:space="preserve"> </w:t>
      </w:r>
      <w:r w:rsidRPr="002D72CF">
        <w:rPr>
          <w:rFonts w:cstheme="minorHAnsi"/>
          <w:sz w:val="24"/>
          <w:szCs w:val="24"/>
        </w:rPr>
        <w:t>employer</w:t>
      </w:r>
      <w:r>
        <w:rPr>
          <w:rFonts w:cstheme="minorHAnsi"/>
          <w:sz w:val="24"/>
          <w:szCs w:val="24"/>
        </w:rPr>
        <w:t xml:space="preserve"> </w:t>
      </w:r>
      <w:r w:rsidRPr="002D72CF">
        <w:rPr>
          <w:rFonts w:cstheme="minorHAnsi"/>
          <w:sz w:val="24"/>
          <w:szCs w:val="24"/>
        </w:rPr>
        <w:t>relationship with CDER,</w:t>
      </w:r>
      <w:r>
        <w:rPr>
          <w:rFonts w:cstheme="minorHAnsi"/>
          <w:sz w:val="24"/>
          <w:szCs w:val="24"/>
        </w:rPr>
        <w:t xml:space="preserve"> </w:t>
      </w:r>
      <w:r w:rsidRPr="002D72CF">
        <w:rPr>
          <w:rFonts w:cstheme="minorHAnsi"/>
          <w:sz w:val="24"/>
          <w:szCs w:val="24"/>
        </w:rPr>
        <w:t>FDA, ORISE, DOE, or any other office</w:t>
      </w:r>
      <w:r>
        <w:rPr>
          <w:rFonts w:cstheme="minorHAnsi"/>
          <w:sz w:val="24"/>
          <w:szCs w:val="24"/>
        </w:rPr>
        <w:t xml:space="preserve"> </w:t>
      </w:r>
      <w:r w:rsidRPr="002D72CF">
        <w:rPr>
          <w:rFonts w:cstheme="minorHAnsi"/>
          <w:sz w:val="24"/>
          <w:szCs w:val="24"/>
        </w:rPr>
        <w:t>or agency.</w:t>
      </w:r>
    </w:p>
    <w:p w14:paraId="24386BD7" w14:textId="7524EB5F" w:rsidR="0094526E" w:rsidRDefault="002D72CF" w:rsidP="002D72CF">
      <w:pPr>
        <w:rPr>
          <w:rFonts w:cstheme="minorHAnsi"/>
          <w:sz w:val="24"/>
          <w:szCs w:val="24"/>
        </w:rPr>
      </w:pPr>
      <w:r w:rsidRPr="002D72CF">
        <w:rPr>
          <w:rFonts w:cstheme="minorHAnsi"/>
          <w:sz w:val="24"/>
          <w:szCs w:val="24"/>
        </w:rPr>
        <w:t>For questions</w:t>
      </w:r>
      <w:r w:rsidR="00B1091E">
        <w:rPr>
          <w:rFonts w:cstheme="minorHAnsi"/>
          <w:sz w:val="24"/>
          <w:szCs w:val="24"/>
        </w:rPr>
        <w:t xml:space="preserve"> about the fellowship</w:t>
      </w:r>
      <w:r w:rsidR="00DC5D94">
        <w:rPr>
          <w:rFonts w:cstheme="minorHAnsi"/>
          <w:sz w:val="24"/>
          <w:szCs w:val="24"/>
        </w:rPr>
        <w:t xml:space="preserve"> information</w:t>
      </w:r>
      <w:r w:rsidRPr="002D72CF">
        <w:rPr>
          <w:rFonts w:cstheme="minorHAnsi"/>
          <w:sz w:val="24"/>
          <w:szCs w:val="24"/>
        </w:rPr>
        <w:t xml:space="preserve">, please </w:t>
      </w:r>
      <w:r w:rsidR="00DC5D94">
        <w:rPr>
          <w:rFonts w:cstheme="minorHAnsi"/>
          <w:sz w:val="24"/>
          <w:szCs w:val="24"/>
        </w:rPr>
        <w:t>email</w:t>
      </w:r>
      <w:r>
        <w:rPr>
          <w:rFonts w:cstheme="minorHAnsi"/>
          <w:sz w:val="24"/>
          <w:szCs w:val="24"/>
        </w:rPr>
        <w:t xml:space="preserve"> </w:t>
      </w:r>
      <w:hyperlink r:id="rId14" w:history="1">
        <w:r w:rsidR="005B31D0" w:rsidRPr="00CB4ED0">
          <w:rPr>
            <w:rStyle w:val="Hyperlink"/>
            <w:rFonts w:cstheme="minorHAnsi"/>
            <w:sz w:val="24"/>
            <w:szCs w:val="24"/>
          </w:rPr>
          <w:t>fellowship@ismp.org</w:t>
        </w:r>
      </w:hyperlink>
      <w:r w:rsidR="00B1091E">
        <w:rPr>
          <w:rFonts w:cstheme="minorHAnsi"/>
          <w:sz w:val="24"/>
          <w:szCs w:val="24"/>
        </w:rPr>
        <w:t>.</w:t>
      </w:r>
    </w:p>
    <w:p w14:paraId="5373AD09" w14:textId="10F02F51" w:rsidR="00B40543" w:rsidRPr="00E037B7" w:rsidRDefault="00B1091E" w:rsidP="002D72CF">
      <w:pPr>
        <w:rPr>
          <w:rFonts w:cstheme="minorHAnsi"/>
          <w:sz w:val="24"/>
          <w:szCs w:val="24"/>
          <w:highlight w:val="yellow"/>
        </w:rPr>
      </w:pPr>
      <w:r>
        <w:rPr>
          <w:rFonts w:cstheme="minorHAnsi"/>
          <w:sz w:val="24"/>
          <w:szCs w:val="24"/>
        </w:rPr>
        <w:t xml:space="preserve">For questions about the </w:t>
      </w:r>
      <w:proofErr w:type="spellStart"/>
      <w:r>
        <w:rPr>
          <w:rFonts w:cstheme="minorHAnsi"/>
          <w:sz w:val="24"/>
          <w:szCs w:val="24"/>
        </w:rPr>
        <w:t>Zintellect</w:t>
      </w:r>
      <w:proofErr w:type="spellEnd"/>
      <w:r>
        <w:rPr>
          <w:rFonts w:cstheme="minorHAnsi"/>
          <w:sz w:val="24"/>
          <w:szCs w:val="24"/>
        </w:rPr>
        <w:t xml:space="preserve"> website</w:t>
      </w:r>
      <w:r w:rsidR="00DC5D94">
        <w:rPr>
          <w:rFonts w:cstheme="minorHAnsi"/>
          <w:sz w:val="24"/>
          <w:szCs w:val="24"/>
        </w:rPr>
        <w:t>/technical issues</w:t>
      </w:r>
      <w:r>
        <w:rPr>
          <w:rFonts w:cstheme="minorHAnsi"/>
          <w:sz w:val="24"/>
          <w:szCs w:val="24"/>
        </w:rPr>
        <w:t xml:space="preserve">, please </w:t>
      </w:r>
      <w:r w:rsidR="00DC5D94">
        <w:rPr>
          <w:rFonts w:cstheme="minorHAnsi"/>
          <w:sz w:val="24"/>
          <w:szCs w:val="24"/>
        </w:rPr>
        <w:t>email</w:t>
      </w:r>
      <w:r>
        <w:rPr>
          <w:rFonts w:cstheme="minorHAnsi"/>
          <w:sz w:val="24"/>
          <w:szCs w:val="24"/>
        </w:rPr>
        <w:t xml:space="preserve"> </w:t>
      </w:r>
      <w:hyperlink r:id="rId15" w:history="1">
        <w:r w:rsidR="00DC5D94" w:rsidRPr="00E524FA">
          <w:rPr>
            <w:rStyle w:val="Hyperlink"/>
            <w:rFonts w:cstheme="minorHAnsi"/>
            <w:sz w:val="24"/>
            <w:szCs w:val="24"/>
          </w:rPr>
          <w:t>ORISE.FDA.CDER@orau.org</w:t>
        </w:r>
      </w:hyperlink>
      <w:r w:rsidR="00DC5D94">
        <w:rPr>
          <w:rFonts w:cstheme="minorHAnsi"/>
          <w:sz w:val="24"/>
          <w:szCs w:val="24"/>
        </w:rPr>
        <w:t xml:space="preserve">. </w:t>
      </w:r>
    </w:p>
    <w:sectPr w:rsidR="00B40543" w:rsidRPr="00E03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16A58"/>
    <w:multiLevelType w:val="hybridMultilevel"/>
    <w:tmpl w:val="1C2624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3D7994"/>
    <w:multiLevelType w:val="hybridMultilevel"/>
    <w:tmpl w:val="11ECD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170686"/>
    <w:multiLevelType w:val="hybridMultilevel"/>
    <w:tmpl w:val="F8A8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AC0750"/>
    <w:multiLevelType w:val="hybridMultilevel"/>
    <w:tmpl w:val="4DF8A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215312A"/>
    <w:multiLevelType w:val="hybridMultilevel"/>
    <w:tmpl w:val="CCFA3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26E"/>
    <w:rsid w:val="00001B71"/>
    <w:rsid w:val="00031541"/>
    <w:rsid w:val="00054968"/>
    <w:rsid w:val="000B171D"/>
    <w:rsid w:val="000D2E06"/>
    <w:rsid w:val="00114847"/>
    <w:rsid w:val="00117944"/>
    <w:rsid w:val="00164488"/>
    <w:rsid w:val="001B1F14"/>
    <w:rsid w:val="001F1FCD"/>
    <w:rsid w:val="0028440E"/>
    <w:rsid w:val="00290317"/>
    <w:rsid w:val="002A1B0E"/>
    <w:rsid w:val="002B0A2C"/>
    <w:rsid w:val="002C0E5E"/>
    <w:rsid w:val="002D72CF"/>
    <w:rsid w:val="002E2BD7"/>
    <w:rsid w:val="00315780"/>
    <w:rsid w:val="00333990"/>
    <w:rsid w:val="00344ABB"/>
    <w:rsid w:val="00355762"/>
    <w:rsid w:val="003B30DB"/>
    <w:rsid w:val="0045408A"/>
    <w:rsid w:val="004873A4"/>
    <w:rsid w:val="004D77B6"/>
    <w:rsid w:val="004E142D"/>
    <w:rsid w:val="00501E5D"/>
    <w:rsid w:val="005344EA"/>
    <w:rsid w:val="00546F15"/>
    <w:rsid w:val="00566C24"/>
    <w:rsid w:val="0058742D"/>
    <w:rsid w:val="005A7779"/>
    <w:rsid w:val="005B2D4E"/>
    <w:rsid w:val="005B31D0"/>
    <w:rsid w:val="005C6D73"/>
    <w:rsid w:val="005D0901"/>
    <w:rsid w:val="005D6668"/>
    <w:rsid w:val="005F2217"/>
    <w:rsid w:val="00612753"/>
    <w:rsid w:val="006214BA"/>
    <w:rsid w:val="006427BD"/>
    <w:rsid w:val="00662BA3"/>
    <w:rsid w:val="007059BB"/>
    <w:rsid w:val="007360E4"/>
    <w:rsid w:val="007C3B41"/>
    <w:rsid w:val="007C7C8B"/>
    <w:rsid w:val="007D28AD"/>
    <w:rsid w:val="007F2A52"/>
    <w:rsid w:val="007F4AA7"/>
    <w:rsid w:val="00825223"/>
    <w:rsid w:val="00831D17"/>
    <w:rsid w:val="00844C3C"/>
    <w:rsid w:val="00873F48"/>
    <w:rsid w:val="008B6280"/>
    <w:rsid w:val="00942324"/>
    <w:rsid w:val="0094526E"/>
    <w:rsid w:val="00950955"/>
    <w:rsid w:val="00964969"/>
    <w:rsid w:val="00A31272"/>
    <w:rsid w:val="00A761B1"/>
    <w:rsid w:val="00A77C27"/>
    <w:rsid w:val="00A837FA"/>
    <w:rsid w:val="00A93907"/>
    <w:rsid w:val="00AC4B73"/>
    <w:rsid w:val="00AE495F"/>
    <w:rsid w:val="00AF0580"/>
    <w:rsid w:val="00B1091E"/>
    <w:rsid w:val="00B40543"/>
    <w:rsid w:val="00B44D15"/>
    <w:rsid w:val="00B46873"/>
    <w:rsid w:val="00B76519"/>
    <w:rsid w:val="00B90929"/>
    <w:rsid w:val="00C13353"/>
    <w:rsid w:val="00C17811"/>
    <w:rsid w:val="00D653B8"/>
    <w:rsid w:val="00DA0419"/>
    <w:rsid w:val="00DA5AB7"/>
    <w:rsid w:val="00DC5D94"/>
    <w:rsid w:val="00DC61D0"/>
    <w:rsid w:val="00E037B7"/>
    <w:rsid w:val="00E53AB3"/>
    <w:rsid w:val="00E547A5"/>
    <w:rsid w:val="00E705D4"/>
    <w:rsid w:val="00E76A30"/>
    <w:rsid w:val="00E90332"/>
    <w:rsid w:val="00EE60CB"/>
    <w:rsid w:val="00EF415C"/>
    <w:rsid w:val="00F22A6B"/>
    <w:rsid w:val="00F65B2B"/>
    <w:rsid w:val="00FA30FB"/>
    <w:rsid w:val="00FA39F4"/>
    <w:rsid w:val="00FD2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C5D10"/>
  <w15:chartTrackingRefBased/>
  <w15:docId w15:val="{6197A4ED-BB3B-4A99-A165-124929F8A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059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4526E"/>
    <w:rPr>
      <w:sz w:val="16"/>
      <w:szCs w:val="16"/>
    </w:rPr>
  </w:style>
  <w:style w:type="paragraph" w:styleId="CommentText">
    <w:name w:val="annotation text"/>
    <w:basedOn w:val="Normal"/>
    <w:link w:val="CommentTextChar"/>
    <w:uiPriority w:val="99"/>
    <w:unhideWhenUsed/>
    <w:rsid w:val="0094526E"/>
    <w:pPr>
      <w:spacing w:line="240" w:lineRule="auto"/>
    </w:pPr>
    <w:rPr>
      <w:sz w:val="20"/>
      <w:szCs w:val="20"/>
    </w:rPr>
  </w:style>
  <w:style w:type="character" w:customStyle="1" w:styleId="CommentTextChar">
    <w:name w:val="Comment Text Char"/>
    <w:basedOn w:val="DefaultParagraphFont"/>
    <w:link w:val="CommentText"/>
    <w:uiPriority w:val="99"/>
    <w:rsid w:val="0094526E"/>
    <w:rPr>
      <w:sz w:val="20"/>
      <w:szCs w:val="20"/>
    </w:rPr>
  </w:style>
  <w:style w:type="paragraph" w:styleId="CommentSubject">
    <w:name w:val="annotation subject"/>
    <w:basedOn w:val="CommentText"/>
    <w:next w:val="CommentText"/>
    <w:link w:val="CommentSubjectChar"/>
    <w:uiPriority w:val="99"/>
    <w:semiHidden/>
    <w:unhideWhenUsed/>
    <w:rsid w:val="0094526E"/>
    <w:rPr>
      <w:b/>
      <w:bCs/>
    </w:rPr>
  </w:style>
  <w:style w:type="character" w:customStyle="1" w:styleId="CommentSubjectChar">
    <w:name w:val="Comment Subject Char"/>
    <w:basedOn w:val="CommentTextChar"/>
    <w:link w:val="CommentSubject"/>
    <w:uiPriority w:val="99"/>
    <w:semiHidden/>
    <w:rsid w:val="0094526E"/>
    <w:rPr>
      <w:b/>
      <w:bCs/>
      <w:sz w:val="20"/>
      <w:szCs w:val="20"/>
    </w:rPr>
  </w:style>
  <w:style w:type="character" w:styleId="Hyperlink">
    <w:name w:val="Hyperlink"/>
    <w:basedOn w:val="DefaultParagraphFont"/>
    <w:uiPriority w:val="99"/>
    <w:unhideWhenUsed/>
    <w:rsid w:val="0094526E"/>
    <w:rPr>
      <w:color w:val="0563C1" w:themeColor="hyperlink"/>
      <w:u w:val="single"/>
    </w:rPr>
  </w:style>
  <w:style w:type="character" w:styleId="UnresolvedMention">
    <w:name w:val="Unresolved Mention"/>
    <w:basedOn w:val="DefaultParagraphFont"/>
    <w:uiPriority w:val="99"/>
    <w:semiHidden/>
    <w:unhideWhenUsed/>
    <w:rsid w:val="0094526E"/>
    <w:rPr>
      <w:color w:val="605E5C"/>
      <w:shd w:val="clear" w:color="auto" w:fill="E1DFDD"/>
    </w:rPr>
  </w:style>
  <w:style w:type="paragraph" w:styleId="ListParagraph">
    <w:name w:val="List Paragraph"/>
    <w:basedOn w:val="Normal"/>
    <w:uiPriority w:val="34"/>
    <w:qFormat/>
    <w:rsid w:val="00F65B2B"/>
    <w:pPr>
      <w:ind w:left="720"/>
      <w:contextualSpacing/>
    </w:pPr>
  </w:style>
  <w:style w:type="table" w:styleId="TableGrid">
    <w:name w:val="Table Grid"/>
    <w:basedOn w:val="TableNormal"/>
    <w:uiPriority w:val="39"/>
    <w:rsid w:val="00A83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059B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059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66C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425731">
      <w:bodyDiv w:val="1"/>
      <w:marLeft w:val="0"/>
      <w:marRight w:val="0"/>
      <w:marTop w:val="0"/>
      <w:marBottom w:val="0"/>
      <w:divBdr>
        <w:top w:val="none" w:sz="0" w:space="0" w:color="auto"/>
        <w:left w:val="none" w:sz="0" w:space="0" w:color="auto"/>
        <w:bottom w:val="none" w:sz="0" w:space="0" w:color="auto"/>
        <w:right w:val="none" w:sz="0" w:space="0" w:color="auto"/>
      </w:divBdr>
      <w:divsChild>
        <w:div w:id="1000160651">
          <w:marLeft w:val="0"/>
          <w:marRight w:val="0"/>
          <w:marTop w:val="0"/>
          <w:marBottom w:val="336"/>
          <w:divBdr>
            <w:top w:val="none" w:sz="0" w:space="0" w:color="auto"/>
            <w:left w:val="none" w:sz="0" w:space="0" w:color="auto"/>
            <w:bottom w:val="none" w:sz="0" w:space="0" w:color="auto"/>
            <w:right w:val="none" w:sz="0" w:space="0" w:color="auto"/>
          </w:divBdr>
        </w:div>
      </w:divsChild>
    </w:div>
    <w:div w:id="86259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www.zintellect.com/Opportunity/Details/FDA-CDER-2022-0746" TargetMode="External"/><Relationship Id="rId3" Type="http://schemas.openxmlformats.org/officeDocument/2006/relationships/settings" Target="settings.xml"/><Relationship Id="rId7" Type="http://schemas.openxmlformats.org/officeDocument/2006/relationships/image" Target="media/image3.jpeg"/><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diagramColors" Target="diagrams/colors1.xml"/><Relationship Id="rId5" Type="http://schemas.openxmlformats.org/officeDocument/2006/relationships/image" Target="media/image1.png"/><Relationship Id="rId15" Type="http://schemas.openxmlformats.org/officeDocument/2006/relationships/hyperlink" Target="mailto:ORISE.FDA.CDER@orau.org" TargetMode="Externa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mailto:fellowship@ismp.org" TargetMode="External"/></Relationships>
</file>

<file path=word/diagrams/_rels/data1.xml.rels><?xml version="1.0" encoding="UTF-8" standalone="yes"?>
<Relationships xmlns="http://schemas.openxmlformats.org/package/2006/relationships"><Relationship Id="rId1" Type="http://schemas.openxmlformats.org/officeDocument/2006/relationships/image" Target="../media/image1.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5BE24C-636E-48BA-B05C-2FE87DE21D3B}" type="doc">
      <dgm:prSet loTypeId="urn:microsoft.com/office/officeart/2005/8/layout/hList7" loCatId="relationship" qsTypeId="urn:microsoft.com/office/officeart/2005/8/quickstyle/simple1" qsCatId="simple" csTypeId="urn:microsoft.com/office/officeart/2005/8/colors/accent5_1" csCatId="accent5" phldr="1"/>
      <dgm:spPr/>
    </dgm:pt>
    <dgm:pt modelId="{640F7D21-0852-4FD5-83E8-71BC6314A520}">
      <dgm:prSet phldrT="[Text]" custT="1"/>
      <dgm:spPr/>
      <dgm:t>
        <a:bodyPr/>
        <a:lstStyle/>
        <a:p>
          <a:pPr algn="ctr"/>
          <a:r>
            <a:rPr lang="en-US" sz="1600"/>
            <a:t>6 months</a:t>
          </a:r>
        </a:p>
        <a:p>
          <a:pPr algn="ctr"/>
          <a:r>
            <a:rPr lang="en-US" sz="1600"/>
            <a:t>Suburbs of Philadelphia, PA</a:t>
          </a:r>
        </a:p>
      </dgm:t>
    </dgm:pt>
    <dgm:pt modelId="{D47006E6-5401-40AB-A41E-1F9866B6EFCF}" type="parTrans" cxnId="{0442C7D2-3748-4A42-BB6B-DF41E0189CC6}">
      <dgm:prSet/>
      <dgm:spPr/>
      <dgm:t>
        <a:bodyPr/>
        <a:lstStyle/>
        <a:p>
          <a:pPr algn="ctr"/>
          <a:endParaRPr lang="en-US"/>
        </a:p>
      </dgm:t>
    </dgm:pt>
    <dgm:pt modelId="{5D7394AF-651A-4474-B703-6F8E91FEFBC5}" type="sibTrans" cxnId="{0442C7D2-3748-4A42-BB6B-DF41E0189CC6}">
      <dgm:prSet/>
      <dgm:spPr/>
      <dgm:t>
        <a:bodyPr/>
        <a:lstStyle/>
        <a:p>
          <a:pPr algn="ctr"/>
          <a:endParaRPr lang="en-US"/>
        </a:p>
      </dgm:t>
    </dgm:pt>
    <dgm:pt modelId="{539AAE97-0F30-46E2-B61A-34B7A1A4F9D0}">
      <dgm:prSet phldrT="[Text]" custT="1"/>
      <dgm:spPr/>
      <dgm:t>
        <a:bodyPr/>
        <a:lstStyle/>
        <a:p>
          <a:pPr algn="ctr"/>
          <a:r>
            <a:rPr lang="en-US" sz="1600"/>
            <a:t>6 months</a:t>
          </a:r>
        </a:p>
        <a:p>
          <a:pPr algn="ctr"/>
          <a:r>
            <a:rPr lang="en-US" sz="1600"/>
            <a:t>Silver Spring, MD</a:t>
          </a:r>
        </a:p>
      </dgm:t>
    </dgm:pt>
    <dgm:pt modelId="{09C04C06-94A0-43F0-A21B-668E76515B80}" type="parTrans" cxnId="{B10F6A82-59EF-4573-B601-F82A6E179A37}">
      <dgm:prSet/>
      <dgm:spPr/>
      <dgm:t>
        <a:bodyPr/>
        <a:lstStyle/>
        <a:p>
          <a:pPr algn="ctr"/>
          <a:endParaRPr lang="en-US"/>
        </a:p>
      </dgm:t>
    </dgm:pt>
    <dgm:pt modelId="{2E1B8CA0-7F9C-4419-9672-C4D7D0BE5D34}" type="sibTrans" cxnId="{B10F6A82-59EF-4573-B601-F82A6E179A37}">
      <dgm:prSet/>
      <dgm:spPr/>
      <dgm:t>
        <a:bodyPr/>
        <a:lstStyle/>
        <a:p>
          <a:pPr algn="ctr"/>
          <a:endParaRPr lang="en-US"/>
        </a:p>
      </dgm:t>
    </dgm:pt>
    <dgm:pt modelId="{BC2D6399-176D-4D88-A6C2-3B5948BC3D28}" type="pres">
      <dgm:prSet presAssocID="{7D5BE24C-636E-48BA-B05C-2FE87DE21D3B}" presName="Name0" presStyleCnt="0">
        <dgm:presLayoutVars>
          <dgm:dir/>
          <dgm:resizeHandles val="exact"/>
        </dgm:presLayoutVars>
      </dgm:prSet>
      <dgm:spPr/>
    </dgm:pt>
    <dgm:pt modelId="{5A80B86D-EBC1-4C01-A5CF-DD673B1280DC}" type="pres">
      <dgm:prSet presAssocID="{7D5BE24C-636E-48BA-B05C-2FE87DE21D3B}" presName="fgShape" presStyleLbl="fgShp" presStyleIdx="0" presStyleCnt="1"/>
      <dgm:spPr>
        <a:prstGeom prst="rightArrow">
          <a:avLst/>
        </a:prstGeom>
      </dgm:spPr>
    </dgm:pt>
    <dgm:pt modelId="{519B54B8-0861-42E0-B5FF-783457BD49C2}" type="pres">
      <dgm:prSet presAssocID="{7D5BE24C-636E-48BA-B05C-2FE87DE21D3B}" presName="linComp" presStyleCnt="0"/>
      <dgm:spPr/>
    </dgm:pt>
    <dgm:pt modelId="{7893FF54-999E-4EF1-A35D-CC0BFA7C6B26}" type="pres">
      <dgm:prSet presAssocID="{640F7D21-0852-4FD5-83E8-71BC6314A520}" presName="compNode" presStyleCnt="0"/>
      <dgm:spPr/>
    </dgm:pt>
    <dgm:pt modelId="{7278CB75-ED55-4EE3-91F6-6C02F35B8EE7}" type="pres">
      <dgm:prSet presAssocID="{640F7D21-0852-4FD5-83E8-71BC6314A520}" presName="bkgdShape" presStyleLbl="node1" presStyleIdx="0" presStyleCnt="2"/>
      <dgm:spPr/>
    </dgm:pt>
    <dgm:pt modelId="{32E6ED63-A769-4B4D-B58C-546ECD16E438}" type="pres">
      <dgm:prSet presAssocID="{640F7D21-0852-4FD5-83E8-71BC6314A520}" presName="nodeTx" presStyleLbl="node1" presStyleIdx="0" presStyleCnt="2">
        <dgm:presLayoutVars>
          <dgm:bulletEnabled val="1"/>
        </dgm:presLayoutVars>
      </dgm:prSet>
      <dgm:spPr/>
    </dgm:pt>
    <dgm:pt modelId="{09E29FE0-E3F5-491C-93C2-A158EBF988DA}" type="pres">
      <dgm:prSet presAssocID="{640F7D21-0852-4FD5-83E8-71BC6314A520}" presName="invisiNode" presStyleLbl="node1" presStyleIdx="0" presStyleCnt="2"/>
      <dgm:spPr/>
    </dgm:pt>
    <dgm:pt modelId="{463F2C78-E5E0-478E-A054-D428AF604579}" type="pres">
      <dgm:prSet presAssocID="{640F7D21-0852-4FD5-83E8-71BC6314A520}" presName="imagNode" presStyleLbl="fgImgPlace1" presStyleIdx="0" presStyleCnt="2" custScaleX="326579" custScaleY="120298"/>
      <dgm:spPr>
        <a:prstGeom prst="roundRect">
          <a:avLst/>
        </a:prstGeom>
      </dgm:spPr>
    </dgm:pt>
    <dgm:pt modelId="{93F1A036-0E71-4347-81DF-E4B6CF375EB5}" type="pres">
      <dgm:prSet presAssocID="{5D7394AF-651A-4474-B703-6F8E91FEFBC5}" presName="sibTrans" presStyleLbl="sibTrans2D1" presStyleIdx="0" presStyleCnt="0"/>
      <dgm:spPr/>
    </dgm:pt>
    <dgm:pt modelId="{B2E00F92-E878-40ED-92D0-B20C5F35633F}" type="pres">
      <dgm:prSet presAssocID="{539AAE97-0F30-46E2-B61A-34B7A1A4F9D0}" presName="compNode" presStyleCnt="0"/>
      <dgm:spPr/>
    </dgm:pt>
    <dgm:pt modelId="{A56C543A-E52F-4517-969D-640A181C07F1}" type="pres">
      <dgm:prSet presAssocID="{539AAE97-0F30-46E2-B61A-34B7A1A4F9D0}" presName="bkgdShape" presStyleLbl="node1" presStyleIdx="1" presStyleCnt="2"/>
      <dgm:spPr/>
    </dgm:pt>
    <dgm:pt modelId="{ECACA23B-11B6-4730-AD2A-9D65A569BA24}" type="pres">
      <dgm:prSet presAssocID="{539AAE97-0F30-46E2-B61A-34B7A1A4F9D0}" presName="nodeTx" presStyleLbl="node1" presStyleIdx="1" presStyleCnt="2">
        <dgm:presLayoutVars>
          <dgm:bulletEnabled val="1"/>
        </dgm:presLayoutVars>
      </dgm:prSet>
      <dgm:spPr/>
    </dgm:pt>
    <dgm:pt modelId="{2F1EA43E-BF5C-40F3-B0C8-107EB546612C}" type="pres">
      <dgm:prSet presAssocID="{539AAE97-0F30-46E2-B61A-34B7A1A4F9D0}" presName="invisiNode" presStyleLbl="node1" presStyleIdx="1" presStyleCnt="2"/>
      <dgm:spPr/>
    </dgm:pt>
    <dgm:pt modelId="{7DEE74F1-8D8D-497C-ABF8-D2F403A8C54E}" type="pres">
      <dgm:prSet presAssocID="{539AAE97-0F30-46E2-B61A-34B7A1A4F9D0}" presName="imagNode" presStyleLbl="fgImgPlace1" presStyleIdx="1" presStyleCnt="2" custScaleX="113747" custScaleY="110832" custLinFactNeighborX="660" custLinFactNeighborY="1258"/>
      <dgm:spPr>
        <a:prstGeom prst="roundRect">
          <a:avLst/>
        </a:prstGeom>
        <a:blipFill dpi="0" rotWithShape="1">
          <a:blip xmlns:r="http://schemas.openxmlformats.org/officeDocument/2006/relationships" r:embed="rId1" cstate="print">
            <a:extLst>
              <a:ext uri="{28A0092B-C50C-407E-A947-70E740481C1C}">
                <a14:useLocalDpi xmlns:a14="http://schemas.microsoft.com/office/drawing/2010/main" val="0"/>
              </a:ext>
            </a:extLst>
          </a:blip>
          <a:srcRect/>
          <a:stretch>
            <a:fillRect t="-5158" b="-34842"/>
          </a:stretch>
        </a:blipFill>
      </dgm:spPr>
    </dgm:pt>
  </dgm:ptLst>
  <dgm:cxnLst>
    <dgm:cxn modelId="{A486034C-B801-4B21-A2B5-5BB8F7ABE06F}" type="presOf" srcId="{5D7394AF-651A-4474-B703-6F8E91FEFBC5}" destId="{93F1A036-0E71-4347-81DF-E4B6CF375EB5}" srcOrd="0" destOrd="0" presId="urn:microsoft.com/office/officeart/2005/8/layout/hList7"/>
    <dgm:cxn modelId="{D59D4E4D-0082-4BA2-AB4E-F0953F3B9F1F}" type="presOf" srcId="{539AAE97-0F30-46E2-B61A-34B7A1A4F9D0}" destId="{ECACA23B-11B6-4730-AD2A-9D65A569BA24}" srcOrd="1" destOrd="0" presId="urn:microsoft.com/office/officeart/2005/8/layout/hList7"/>
    <dgm:cxn modelId="{4203AA80-D94E-4FA6-B7F6-30784E2BA170}" type="presOf" srcId="{640F7D21-0852-4FD5-83E8-71BC6314A520}" destId="{7278CB75-ED55-4EE3-91F6-6C02F35B8EE7}" srcOrd="0" destOrd="0" presId="urn:microsoft.com/office/officeart/2005/8/layout/hList7"/>
    <dgm:cxn modelId="{B10F6A82-59EF-4573-B601-F82A6E179A37}" srcId="{7D5BE24C-636E-48BA-B05C-2FE87DE21D3B}" destId="{539AAE97-0F30-46E2-B61A-34B7A1A4F9D0}" srcOrd="1" destOrd="0" parTransId="{09C04C06-94A0-43F0-A21B-668E76515B80}" sibTransId="{2E1B8CA0-7F9C-4419-9672-C4D7D0BE5D34}"/>
    <dgm:cxn modelId="{9A050F90-8044-4997-A6E2-F39C8FA5BABF}" type="presOf" srcId="{640F7D21-0852-4FD5-83E8-71BC6314A520}" destId="{32E6ED63-A769-4B4D-B58C-546ECD16E438}" srcOrd="1" destOrd="0" presId="urn:microsoft.com/office/officeart/2005/8/layout/hList7"/>
    <dgm:cxn modelId="{DE98A09D-E518-496A-8814-13FF91899C2C}" type="presOf" srcId="{7D5BE24C-636E-48BA-B05C-2FE87DE21D3B}" destId="{BC2D6399-176D-4D88-A6C2-3B5948BC3D28}" srcOrd="0" destOrd="0" presId="urn:microsoft.com/office/officeart/2005/8/layout/hList7"/>
    <dgm:cxn modelId="{A8123DCD-72E9-4DC6-81DE-EC8C657F695D}" type="presOf" srcId="{539AAE97-0F30-46E2-B61A-34B7A1A4F9D0}" destId="{A56C543A-E52F-4517-969D-640A181C07F1}" srcOrd="0" destOrd="0" presId="urn:microsoft.com/office/officeart/2005/8/layout/hList7"/>
    <dgm:cxn modelId="{0442C7D2-3748-4A42-BB6B-DF41E0189CC6}" srcId="{7D5BE24C-636E-48BA-B05C-2FE87DE21D3B}" destId="{640F7D21-0852-4FD5-83E8-71BC6314A520}" srcOrd="0" destOrd="0" parTransId="{D47006E6-5401-40AB-A41E-1F9866B6EFCF}" sibTransId="{5D7394AF-651A-4474-B703-6F8E91FEFBC5}"/>
    <dgm:cxn modelId="{2B4DAA3E-305C-4932-8DC1-8EBCF9C713A6}" type="presParOf" srcId="{BC2D6399-176D-4D88-A6C2-3B5948BC3D28}" destId="{5A80B86D-EBC1-4C01-A5CF-DD673B1280DC}" srcOrd="0" destOrd="0" presId="urn:microsoft.com/office/officeart/2005/8/layout/hList7"/>
    <dgm:cxn modelId="{81F941E0-A897-4E16-91E8-3379799A786D}" type="presParOf" srcId="{BC2D6399-176D-4D88-A6C2-3B5948BC3D28}" destId="{519B54B8-0861-42E0-B5FF-783457BD49C2}" srcOrd="1" destOrd="0" presId="urn:microsoft.com/office/officeart/2005/8/layout/hList7"/>
    <dgm:cxn modelId="{82039D54-25AA-400B-9A6D-E0A8D87A2056}" type="presParOf" srcId="{519B54B8-0861-42E0-B5FF-783457BD49C2}" destId="{7893FF54-999E-4EF1-A35D-CC0BFA7C6B26}" srcOrd="0" destOrd="0" presId="urn:microsoft.com/office/officeart/2005/8/layout/hList7"/>
    <dgm:cxn modelId="{180C7F54-BCF9-4B49-B452-0D717AB3C2ED}" type="presParOf" srcId="{7893FF54-999E-4EF1-A35D-CC0BFA7C6B26}" destId="{7278CB75-ED55-4EE3-91F6-6C02F35B8EE7}" srcOrd="0" destOrd="0" presId="urn:microsoft.com/office/officeart/2005/8/layout/hList7"/>
    <dgm:cxn modelId="{34A4F8B5-7F56-457F-A5F3-D820A5F0CF66}" type="presParOf" srcId="{7893FF54-999E-4EF1-A35D-CC0BFA7C6B26}" destId="{32E6ED63-A769-4B4D-B58C-546ECD16E438}" srcOrd="1" destOrd="0" presId="urn:microsoft.com/office/officeart/2005/8/layout/hList7"/>
    <dgm:cxn modelId="{0F6D39E1-40EF-44C6-8936-6EC804D83238}" type="presParOf" srcId="{7893FF54-999E-4EF1-A35D-CC0BFA7C6B26}" destId="{09E29FE0-E3F5-491C-93C2-A158EBF988DA}" srcOrd="2" destOrd="0" presId="urn:microsoft.com/office/officeart/2005/8/layout/hList7"/>
    <dgm:cxn modelId="{3C965349-73AE-4B0C-BFA5-62CB5177F31F}" type="presParOf" srcId="{7893FF54-999E-4EF1-A35D-CC0BFA7C6B26}" destId="{463F2C78-E5E0-478E-A054-D428AF604579}" srcOrd="3" destOrd="0" presId="urn:microsoft.com/office/officeart/2005/8/layout/hList7"/>
    <dgm:cxn modelId="{C4F5375D-FD74-47ED-BEA0-27750FFC7472}" type="presParOf" srcId="{519B54B8-0861-42E0-B5FF-783457BD49C2}" destId="{93F1A036-0E71-4347-81DF-E4B6CF375EB5}" srcOrd="1" destOrd="0" presId="urn:microsoft.com/office/officeart/2005/8/layout/hList7"/>
    <dgm:cxn modelId="{01AAB964-12C8-4FFB-925B-6B26297F636A}" type="presParOf" srcId="{519B54B8-0861-42E0-B5FF-783457BD49C2}" destId="{B2E00F92-E878-40ED-92D0-B20C5F35633F}" srcOrd="2" destOrd="0" presId="urn:microsoft.com/office/officeart/2005/8/layout/hList7"/>
    <dgm:cxn modelId="{2F1BEB0C-91E1-484D-8972-C14EA84D2399}" type="presParOf" srcId="{B2E00F92-E878-40ED-92D0-B20C5F35633F}" destId="{A56C543A-E52F-4517-969D-640A181C07F1}" srcOrd="0" destOrd="0" presId="urn:microsoft.com/office/officeart/2005/8/layout/hList7"/>
    <dgm:cxn modelId="{8FC8919A-B782-4998-8249-8C39F2082AA6}" type="presParOf" srcId="{B2E00F92-E878-40ED-92D0-B20C5F35633F}" destId="{ECACA23B-11B6-4730-AD2A-9D65A569BA24}" srcOrd="1" destOrd="0" presId="urn:microsoft.com/office/officeart/2005/8/layout/hList7"/>
    <dgm:cxn modelId="{1F4FA6FF-AC9C-4C61-BABF-C450CD557D7E}" type="presParOf" srcId="{B2E00F92-E878-40ED-92D0-B20C5F35633F}" destId="{2F1EA43E-BF5C-40F3-B0C8-107EB546612C}" srcOrd="2" destOrd="0" presId="urn:microsoft.com/office/officeart/2005/8/layout/hList7"/>
    <dgm:cxn modelId="{A80A0054-B4C8-40E6-B8A9-E2E0653BCCF4}" type="presParOf" srcId="{B2E00F92-E878-40ED-92D0-B20C5F35633F}" destId="{7DEE74F1-8D8D-497C-ABF8-D2F403A8C54E}" srcOrd="3" destOrd="0" presId="urn:microsoft.com/office/officeart/2005/8/layout/hList7"/>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78CB75-ED55-4EE3-91F6-6C02F35B8EE7}">
      <dsp:nvSpPr>
        <dsp:cNvPr id="0" name=""/>
        <dsp:cNvSpPr/>
      </dsp:nvSpPr>
      <dsp:spPr>
        <a:xfrm>
          <a:off x="2288" y="0"/>
          <a:ext cx="2621918" cy="2140527"/>
        </a:xfrm>
        <a:prstGeom prst="roundRect">
          <a:avLst>
            <a:gd name="adj" fmla="val 10000"/>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US" sz="1600" kern="1200"/>
            <a:t>6 months</a:t>
          </a:r>
        </a:p>
        <a:p>
          <a:pPr marL="0" lvl="0" indent="0" algn="ctr" defTabSz="711200">
            <a:lnSpc>
              <a:spcPct val="90000"/>
            </a:lnSpc>
            <a:spcBef>
              <a:spcPct val="0"/>
            </a:spcBef>
            <a:spcAft>
              <a:spcPct val="35000"/>
            </a:spcAft>
            <a:buNone/>
          </a:pPr>
          <a:r>
            <a:rPr lang="en-US" sz="1600" kern="1200"/>
            <a:t>Suburbs of Philadelphia, PA</a:t>
          </a:r>
        </a:p>
      </dsp:txBody>
      <dsp:txXfrm>
        <a:off x="2288" y="856210"/>
        <a:ext cx="2621918" cy="856210"/>
      </dsp:txXfrm>
    </dsp:sp>
    <dsp:sp modelId="{463F2C78-E5E0-478E-A054-D428AF604579}">
      <dsp:nvSpPr>
        <dsp:cNvPr id="0" name=""/>
        <dsp:cNvSpPr/>
      </dsp:nvSpPr>
      <dsp:spPr>
        <a:xfrm>
          <a:off x="149328" y="56090"/>
          <a:ext cx="2327840" cy="857478"/>
        </a:xfrm>
        <a:prstGeom prst="roundRect">
          <a:avLst/>
        </a:prstGeom>
        <a:solidFill>
          <a:schemeClr val="accent5">
            <a:tint val="40000"/>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56C543A-E52F-4517-969D-640A181C07F1}">
      <dsp:nvSpPr>
        <dsp:cNvPr id="0" name=""/>
        <dsp:cNvSpPr/>
      </dsp:nvSpPr>
      <dsp:spPr>
        <a:xfrm>
          <a:off x="2702865" y="0"/>
          <a:ext cx="2621918" cy="2140527"/>
        </a:xfrm>
        <a:prstGeom prst="roundRect">
          <a:avLst>
            <a:gd name="adj" fmla="val 10000"/>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US" sz="1600" kern="1200"/>
            <a:t>6 months</a:t>
          </a:r>
        </a:p>
        <a:p>
          <a:pPr marL="0" lvl="0" indent="0" algn="ctr" defTabSz="711200">
            <a:lnSpc>
              <a:spcPct val="90000"/>
            </a:lnSpc>
            <a:spcBef>
              <a:spcPct val="0"/>
            </a:spcBef>
            <a:spcAft>
              <a:spcPct val="35000"/>
            </a:spcAft>
            <a:buNone/>
          </a:pPr>
          <a:r>
            <a:rPr lang="en-US" sz="1600" kern="1200"/>
            <a:t>Silver Spring, MD</a:t>
          </a:r>
        </a:p>
      </dsp:txBody>
      <dsp:txXfrm>
        <a:off x="2702865" y="856210"/>
        <a:ext cx="2621918" cy="856210"/>
      </dsp:txXfrm>
    </dsp:sp>
    <dsp:sp modelId="{7DEE74F1-8D8D-497C-ABF8-D2F403A8C54E}">
      <dsp:nvSpPr>
        <dsp:cNvPr id="0" name=""/>
        <dsp:cNvSpPr/>
      </dsp:nvSpPr>
      <dsp:spPr>
        <a:xfrm>
          <a:off x="3613137" y="98793"/>
          <a:ext cx="810783" cy="790005"/>
        </a:xfrm>
        <a:prstGeom prst="roundRect">
          <a:avLst/>
        </a:prstGeom>
        <a:blipFill dpi="0" rotWithShape="1">
          <a:blip xmlns:r="http://schemas.openxmlformats.org/officeDocument/2006/relationships" r:embed="rId1" cstate="print">
            <a:extLst>
              <a:ext uri="{28A0092B-C50C-407E-A947-70E740481C1C}">
                <a14:useLocalDpi xmlns:a14="http://schemas.microsoft.com/office/drawing/2010/main" val="0"/>
              </a:ext>
            </a:extLst>
          </a:blip>
          <a:srcRect/>
          <a:stretch>
            <a:fillRect t="-5158" b="-34842"/>
          </a:stretch>
        </a:blip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A80B86D-EBC1-4C01-A5CF-DD673B1280DC}">
      <dsp:nvSpPr>
        <dsp:cNvPr id="0" name=""/>
        <dsp:cNvSpPr/>
      </dsp:nvSpPr>
      <dsp:spPr>
        <a:xfrm>
          <a:off x="213082" y="1712421"/>
          <a:ext cx="4900907" cy="321079"/>
        </a:xfrm>
        <a:prstGeom prst="rightArrow">
          <a:avLst/>
        </a:prstGeom>
        <a:solidFill>
          <a:schemeClr val="accent5">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 Chi-Ming (Alice)</dc:creator>
  <cp:keywords/>
  <dc:description/>
  <cp:lastModifiedBy>Jordann Rufo</cp:lastModifiedBy>
  <cp:revision>2</cp:revision>
  <dcterms:created xsi:type="dcterms:W3CDTF">2022-01-13T20:30:00Z</dcterms:created>
  <dcterms:modified xsi:type="dcterms:W3CDTF">2022-01-13T20:30:00Z</dcterms:modified>
</cp:coreProperties>
</file>