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231184836"/>
    <w:bookmarkStart w:id="1" w:name="_MON_1231184913"/>
    <w:bookmarkStart w:id="2" w:name="_MON_1231523733"/>
    <w:bookmarkStart w:id="3" w:name="_MON_1231523845"/>
    <w:bookmarkStart w:id="4" w:name="_MON_1231523852"/>
    <w:bookmarkStart w:id="5" w:name="_MON_1305047124"/>
    <w:bookmarkStart w:id="6" w:name="_MON_1400005751"/>
    <w:bookmarkStart w:id="7" w:name="_MON_1410287886"/>
    <w:bookmarkStart w:id="8" w:name="_MON_1410287903"/>
    <w:bookmarkStart w:id="9" w:name="_MON_1410287914"/>
    <w:bookmarkStart w:id="10" w:name="_MON_1410287919"/>
    <w:bookmarkStart w:id="11" w:name="_MON_1410287926"/>
    <w:bookmarkStart w:id="12" w:name="_MON_1410287999"/>
    <w:bookmarkStart w:id="13" w:name="_MON_1231182667"/>
    <w:bookmarkStart w:id="14" w:name="_MON_1231182695"/>
    <w:bookmarkStart w:id="15" w:name="_MON_1231182702"/>
    <w:bookmarkStart w:id="16" w:name="_MON_1231182722"/>
    <w:bookmarkStart w:id="17" w:name="_MON_12311829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231183012"/>
    <w:bookmarkEnd w:id="18"/>
    <w:p w14:paraId="604ED0CD" w14:textId="77777777" w:rsidR="00A5481A" w:rsidRPr="002945BD" w:rsidRDefault="002945BD" w:rsidP="00E325CF">
      <w:pPr>
        <w:ind w:left="-360" w:right="-180"/>
        <w:rPr>
          <w:sz w:val="16"/>
          <w:szCs w:val="16"/>
        </w:rPr>
      </w:pPr>
      <w:r w:rsidRPr="00757D59">
        <w:rPr>
          <w:sz w:val="18"/>
        </w:rPr>
        <w:object w:dxaOrig="14700" w:dyaOrig="1523" w14:anchorId="57026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05pt;height:76.4pt" o:ole="">
            <v:imagedata r:id="rId7" o:title=""/>
          </v:shape>
          <o:OLEObject Type="Embed" ProgID="Word.Document.8" ShapeID="_x0000_i1025" DrawAspect="Content" ObjectID="_1610395347" r:id="rId8">
            <o:FieldCodes>\s</o:FieldCodes>
          </o:OLEObject>
        </w:object>
      </w:r>
    </w:p>
    <w:tbl>
      <w:tblPr>
        <w:tblW w:w="14988" w:type="dxa"/>
        <w:jc w:val="center"/>
        <w:tblBorders>
          <w:top w:val="single" w:sz="4" w:space="0" w:color="0D4D9E"/>
          <w:left w:val="single" w:sz="4" w:space="0" w:color="0D4D9E"/>
          <w:bottom w:val="single" w:sz="4" w:space="0" w:color="0D4D9E"/>
          <w:right w:val="single" w:sz="4" w:space="0" w:color="0D4D9E"/>
          <w:insideH w:val="single" w:sz="6" w:space="0" w:color="0D4D9E"/>
          <w:insideV w:val="single" w:sz="6" w:space="0" w:color="0D4D9E"/>
        </w:tblBorders>
        <w:tblLayout w:type="fixed"/>
        <w:tblLook w:val="01E0" w:firstRow="1" w:lastRow="1" w:firstColumn="1" w:lastColumn="1" w:noHBand="0" w:noVBand="0"/>
      </w:tblPr>
      <w:tblGrid>
        <w:gridCol w:w="792"/>
        <w:gridCol w:w="3855"/>
        <w:gridCol w:w="3982"/>
        <w:gridCol w:w="2970"/>
        <w:gridCol w:w="2447"/>
        <w:gridCol w:w="942"/>
      </w:tblGrid>
      <w:tr w:rsidR="00BB0667" w:rsidRPr="00C02132" w14:paraId="089ABFEF" w14:textId="77777777" w:rsidTr="002945BD">
        <w:trPr>
          <w:tblHeader/>
          <w:jc w:val="center"/>
        </w:trPr>
        <w:tc>
          <w:tcPr>
            <w:tcW w:w="792" w:type="dxa"/>
            <w:tcBorders>
              <w:top w:val="single" w:sz="4" w:space="0" w:color="0D4D9E"/>
              <w:bottom w:val="single" w:sz="6" w:space="0" w:color="0D4D9E"/>
            </w:tcBorders>
            <w:shd w:val="clear" w:color="auto" w:fill="5D72B5"/>
          </w:tcPr>
          <w:p w14:paraId="4AAD28E8" w14:textId="77777777" w:rsidR="00BB0667" w:rsidRPr="00C3115B" w:rsidRDefault="00407D1A" w:rsidP="00C3115B">
            <w:pPr>
              <w:pStyle w:val="Acutecare-new-agenda-hed"/>
              <w:jc w:val="center"/>
              <w:rPr>
                <w:color w:val="FFFFFF" w:themeColor="background1"/>
              </w:rPr>
            </w:pPr>
            <w:r w:rsidRPr="00C3115B">
              <w:rPr>
                <w:color w:val="FFFFFF" w:themeColor="background1"/>
              </w:rPr>
              <w:t>Issue</w:t>
            </w:r>
          </w:p>
        </w:tc>
        <w:tc>
          <w:tcPr>
            <w:tcW w:w="3855" w:type="dxa"/>
            <w:tcBorders>
              <w:top w:val="single" w:sz="4" w:space="0" w:color="0D4D9E"/>
              <w:bottom w:val="single" w:sz="6" w:space="0" w:color="0D4D9E"/>
              <w:right w:val="single" w:sz="4" w:space="0" w:color="0D4D9E"/>
            </w:tcBorders>
            <w:shd w:val="clear" w:color="auto" w:fill="0D4D9E"/>
          </w:tcPr>
          <w:p w14:paraId="70071D5A" w14:textId="77777777" w:rsidR="00BB0667" w:rsidRPr="00407D1A" w:rsidRDefault="00BB0667" w:rsidP="00C3115B">
            <w:pPr>
              <w:pStyle w:val="Acutecare-new-agenda-hed"/>
              <w:jc w:val="center"/>
              <w:rPr>
                <w:color w:val="FFFFFF"/>
                <w:sz w:val="16"/>
                <w:szCs w:val="16"/>
              </w:rPr>
            </w:pPr>
            <w:r w:rsidRPr="00407D1A">
              <w:rPr>
                <w:color w:val="FFFFFF"/>
                <w:sz w:val="16"/>
                <w:szCs w:val="16"/>
              </w:rPr>
              <w:t>Problem</w:t>
            </w:r>
          </w:p>
        </w:tc>
        <w:tc>
          <w:tcPr>
            <w:tcW w:w="3982" w:type="dxa"/>
            <w:tcBorders>
              <w:top w:val="single" w:sz="4" w:space="0" w:color="0D4D9E"/>
              <w:left w:val="single" w:sz="4" w:space="0" w:color="0D4D9E"/>
              <w:bottom w:val="single" w:sz="6" w:space="0" w:color="0D4D9E"/>
            </w:tcBorders>
            <w:shd w:val="clear" w:color="auto" w:fill="5D72B5"/>
          </w:tcPr>
          <w:p w14:paraId="5BFDF410" w14:textId="77777777" w:rsidR="00BB0667" w:rsidRPr="00407D1A" w:rsidRDefault="00BB0667" w:rsidP="00C3115B">
            <w:pPr>
              <w:pStyle w:val="Acutecare-new-agenda-hed"/>
              <w:jc w:val="center"/>
              <w:rPr>
                <w:color w:val="FFFFFF"/>
                <w:sz w:val="16"/>
                <w:szCs w:val="16"/>
              </w:rPr>
            </w:pPr>
            <w:r w:rsidRPr="00407D1A">
              <w:rPr>
                <w:color w:val="FFFFFF"/>
                <w:sz w:val="16"/>
                <w:szCs w:val="16"/>
              </w:rPr>
              <w:t>Recommendation</w:t>
            </w:r>
          </w:p>
        </w:tc>
        <w:tc>
          <w:tcPr>
            <w:tcW w:w="2970" w:type="dxa"/>
            <w:tcBorders>
              <w:top w:val="single" w:sz="4" w:space="0" w:color="0D4D9E"/>
              <w:bottom w:val="single" w:sz="6" w:space="0" w:color="0D4D9E"/>
            </w:tcBorders>
            <w:shd w:val="clear" w:color="auto" w:fill="0D4D9E"/>
          </w:tcPr>
          <w:p w14:paraId="3888F915" w14:textId="77777777" w:rsidR="00BB0667" w:rsidRPr="00407D1A" w:rsidRDefault="00BB0667" w:rsidP="00C3115B">
            <w:pPr>
              <w:pStyle w:val="Acutecare-new-agenda-hed"/>
              <w:jc w:val="center"/>
              <w:rPr>
                <w:color w:val="FFFFFF"/>
                <w:sz w:val="16"/>
                <w:szCs w:val="16"/>
              </w:rPr>
            </w:pPr>
            <w:r w:rsidRPr="00407D1A">
              <w:rPr>
                <w:color w:val="FFFFFF"/>
                <w:sz w:val="16"/>
                <w:szCs w:val="16"/>
              </w:rPr>
              <w:t xml:space="preserve">Organization </w:t>
            </w:r>
            <w:r w:rsidRPr="00837D17">
              <w:rPr>
                <w:color w:val="FFFFFF"/>
                <w:sz w:val="16"/>
                <w:szCs w:val="16"/>
              </w:rPr>
              <w:t>Assessment</w:t>
            </w:r>
          </w:p>
        </w:tc>
        <w:tc>
          <w:tcPr>
            <w:tcW w:w="2447" w:type="dxa"/>
            <w:tcBorders>
              <w:top w:val="single" w:sz="4" w:space="0" w:color="0D4D9E"/>
              <w:bottom w:val="single" w:sz="6" w:space="0" w:color="0D4D9E"/>
            </w:tcBorders>
            <w:shd w:val="clear" w:color="auto" w:fill="5D72B5"/>
          </w:tcPr>
          <w:p w14:paraId="79C86A59" w14:textId="77777777" w:rsidR="00BB0667" w:rsidRPr="00407D1A" w:rsidRDefault="00BB0667" w:rsidP="00C3115B">
            <w:pPr>
              <w:pStyle w:val="Acutecare-new-agenda-hed"/>
              <w:jc w:val="center"/>
              <w:rPr>
                <w:color w:val="FFFFFF"/>
                <w:sz w:val="16"/>
                <w:szCs w:val="16"/>
              </w:rPr>
            </w:pPr>
            <w:r w:rsidRPr="00407D1A">
              <w:rPr>
                <w:color w:val="FFFFFF"/>
                <w:sz w:val="16"/>
                <w:szCs w:val="16"/>
              </w:rPr>
              <w:t>Action Required/</w:t>
            </w:r>
            <w:r w:rsidR="008219D3" w:rsidRPr="00407D1A">
              <w:rPr>
                <w:color w:val="FFFFFF"/>
                <w:sz w:val="16"/>
                <w:szCs w:val="16"/>
              </w:rPr>
              <w:t xml:space="preserve"> </w:t>
            </w:r>
            <w:r w:rsidRPr="00407D1A">
              <w:rPr>
                <w:color w:val="FFFFFF"/>
                <w:sz w:val="16"/>
                <w:szCs w:val="16"/>
              </w:rPr>
              <w:t>Assignment</w:t>
            </w:r>
          </w:p>
        </w:tc>
        <w:tc>
          <w:tcPr>
            <w:tcW w:w="942" w:type="dxa"/>
            <w:tcBorders>
              <w:top w:val="single" w:sz="4" w:space="0" w:color="0D4D9E"/>
              <w:bottom w:val="single" w:sz="6" w:space="0" w:color="0D4D9E"/>
            </w:tcBorders>
            <w:shd w:val="clear" w:color="auto" w:fill="0D4D9E"/>
          </w:tcPr>
          <w:p w14:paraId="18A4E2BA" w14:textId="77777777" w:rsidR="00BB0667" w:rsidRPr="00407D1A" w:rsidRDefault="00BB0667" w:rsidP="00C3115B">
            <w:pPr>
              <w:pStyle w:val="Acutecare-new-agenda-hed"/>
              <w:jc w:val="center"/>
              <w:rPr>
                <w:color w:val="FFFFFF"/>
                <w:sz w:val="16"/>
                <w:szCs w:val="16"/>
              </w:rPr>
            </w:pPr>
            <w:r w:rsidRPr="00837D17">
              <w:rPr>
                <w:color w:val="FFFFFF"/>
                <w:sz w:val="16"/>
                <w:szCs w:val="16"/>
              </w:rPr>
              <w:t>Date</w:t>
            </w:r>
            <w:r w:rsidRPr="00407D1A">
              <w:rPr>
                <w:color w:val="FFFFFF"/>
                <w:sz w:val="16"/>
                <w:szCs w:val="16"/>
              </w:rPr>
              <w:t xml:space="preserve"> Completed</w:t>
            </w:r>
          </w:p>
        </w:tc>
      </w:tr>
      <w:tr w:rsidR="00481D01" w:rsidRPr="00473B6D" w14:paraId="2E4C83BF" w14:textId="77777777" w:rsidTr="002945BD">
        <w:trPr>
          <w:jc w:val="center"/>
        </w:trPr>
        <w:tc>
          <w:tcPr>
            <w:tcW w:w="14988" w:type="dxa"/>
            <w:gridSpan w:val="6"/>
            <w:tcBorders>
              <w:top w:val="single" w:sz="6" w:space="0" w:color="0D4D9E"/>
              <w:bottom w:val="single" w:sz="6" w:space="0" w:color="0D4D9E"/>
            </w:tcBorders>
            <w:shd w:val="clear" w:color="auto" w:fill="BBCEEB"/>
          </w:tcPr>
          <w:p w14:paraId="33C1D671" w14:textId="77777777" w:rsidR="00481D01" w:rsidRPr="00AD200C" w:rsidRDefault="002F1BAB" w:rsidP="002945BD">
            <w:pPr>
              <w:pStyle w:val="Acutecare-new-agenda-hed"/>
              <w:ind w:left="25" w:hanging="25"/>
              <w:jc w:val="center"/>
              <w:rPr>
                <w:bCs/>
              </w:rPr>
            </w:pPr>
            <w:r w:rsidRPr="00371DE8">
              <w:t>Clear instructions and patient education key for the direct oral anticoagulant XARELTO (rivaroxaban)</w:t>
            </w:r>
          </w:p>
        </w:tc>
      </w:tr>
      <w:tr w:rsidR="002F1BAB" w:rsidRPr="00C02132" w14:paraId="7F9143DF" w14:textId="77777777" w:rsidTr="002945BD">
        <w:trPr>
          <w:jc w:val="center"/>
        </w:trPr>
        <w:tc>
          <w:tcPr>
            <w:tcW w:w="792" w:type="dxa"/>
            <w:tcBorders>
              <w:top w:val="single" w:sz="6" w:space="0" w:color="0D4D9E"/>
              <w:bottom w:val="single" w:sz="6" w:space="0" w:color="0D4D9E"/>
            </w:tcBorders>
            <w:shd w:val="clear" w:color="auto" w:fill="F0EBD3"/>
          </w:tcPr>
          <w:p w14:paraId="4866EFEE" w14:textId="77777777" w:rsidR="002F1BAB" w:rsidRDefault="002F1BAB" w:rsidP="007760F8">
            <w:pPr>
              <w:pStyle w:val="agenda-BODY"/>
              <w:rPr>
                <w:rFonts w:eastAsia="Univers LT Std 47 Cn Lt"/>
                <w:w w:val="110"/>
              </w:rPr>
            </w:pPr>
            <w:r w:rsidRPr="008F4409">
              <w:t>0</w:t>
            </w:r>
            <w:r>
              <w:t>9</w:t>
            </w:r>
            <w:r w:rsidRPr="008F4409">
              <w:t>/18</w:t>
            </w:r>
          </w:p>
          <w:p w14:paraId="300F6A7C" w14:textId="77777777" w:rsidR="002F1BAB" w:rsidRPr="008F4409" w:rsidRDefault="00BD3999" w:rsidP="007760F8">
            <w:pPr>
              <w:pStyle w:val="agenda-BODY"/>
            </w:pPr>
            <w:r>
              <w:t xml:space="preserve"> </w:t>
            </w:r>
            <w:r w:rsidR="002F1BAB">
              <w:rPr>
                <w:rFonts w:eastAsia="Akzidenz Grotesk BE Cn"/>
                <w:noProof/>
              </w:rPr>
              <w:drawing>
                <wp:inline distT="0" distB="0" distL="0" distR="0" wp14:anchorId="117C4E2F" wp14:editId="68D016A5">
                  <wp:extent cx="167005" cy="127000"/>
                  <wp:effectExtent l="0" t="0" r="4445" b="6350"/>
                  <wp:docPr id="1" name="Picture 1"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855" w:type="dxa"/>
            <w:tcBorders>
              <w:top w:val="single" w:sz="6" w:space="0" w:color="0D4D9E"/>
              <w:bottom w:val="single" w:sz="6" w:space="0" w:color="0D4D9E"/>
            </w:tcBorders>
            <w:shd w:val="clear" w:color="auto" w:fill="FFF3D6"/>
          </w:tcPr>
          <w:p w14:paraId="5A74D589" w14:textId="77777777" w:rsidR="002F1BAB" w:rsidRDefault="002F1BAB" w:rsidP="00E35265">
            <w:pPr>
              <w:pStyle w:val="agenda-BODY"/>
              <w:rPr>
                <w:spacing w:val="-2"/>
              </w:rPr>
            </w:pPr>
            <w:r w:rsidRPr="00371DE8">
              <w:rPr>
                <w:spacing w:val="-2"/>
              </w:rPr>
              <w:t xml:space="preserve">Xarelto is approved for several indications, including the treatment of deep vein </w:t>
            </w:r>
            <w:r w:rsidRPr="00371DE8">
              <w:rPr>
                <w:spacing w:val="-3"/>
              </w:rPr>
              <w:t xml:space="preserve">thrombosis (DVT) and pulmonary embolism (PE), </w:t>
            </w:r>
            <w:r w:rsidRPr="00371DE8">
              <w:rPr>
                <w:spacing w:val="-2"/>
              </w:rPr>
              <w:t>where the patient initially takes 15</w:t>
            </w:r>
            <w:r w:rsidRPr="00371DE8">
              <w:rPr>
                <w:rFonts w:ascii="Arial" w:hAnsi="Arial" w:cs="Arial"/>
                <w:spacing w:val="-2"/>
              </w:rPr>
              <w:t> </w:t>
            </w:r>
            <w:r w:rsidRPr="00371DE8">
              <w:rPr>
                <w:spacing w:val="-2"/>
              </w:rPr>
              <w:t>mg twice daily with food. After 21 days on this dose, the patient switches to 20</w:t>
            </w:r>
            <w:r w:rsidRPr="00371DE8">
              <w:rPr>
                <w:rFonts w:ascii="Arial" w:hAnsi="Arial" w:cs="Arial"/>
                <w:spacing w:val="-2"/>
              </w:rPr>
              <w:t> </w:t>
            </w:r>
            <w:r w:rsidRPr="00371DE8">
              <w:rPr>
                <w:spacing w:val="-2"/>
              </w:rPr>
              <w:t>mg once daily with food for the remainder of treatment. However, patients have been dispensed and taken both doses concurrently. A few factors that have contributed to the reported events include: 1) insufficient patient education; 2)</w:t>
            </w:r>
            <w:r w:rsidRPr="00371DE8">
              <w:rPr>
                <w:rFonts w:ascii="Arial" w:hAnsi="Arial" w:cs="Arial"/>
                <w:spacing w:val="-2"/>
              </w:rPr>
              <w:t> </w:t>
            </w:r>
            <w:r w:rsidRPr="00371DE8">
              <w:rPr>
                <w:spacing w:val="-2"/>
              </w:rPr>
              <w:t>the labeling of the 20 mg daily prescription did not clearly indicate that the medication should not be taken until the 15 mg twice daily prescription was completed; and 3)</w:t>
            </w:r>
            <w:r w:rsidRPr="00371DE8">
              <w:rPr>
                <w:rFonts w:ascii="Arial" w:hAnsi="Arial" w:cs="Arial"/>
                <w:spacing w:val="-2"/>
              </w:rPr>
              <w:t> </w:t>
            </w:r>
            <w:r w:rsidRPr="00371DE8">
              <w:rPr>
                <w:spacing w:val="-2"/>
              </w:rPr>
              <w:t>limited use of manufacturer</w:t>
            </w:r>
            <w:r w:rsidRPr="00371DE8">
              <w:rPr>
                <w:rFonts w:cs="Univers LT Std 47 Cn Lt"/>
                <w:spacing w:val="-2"/>
              </w:rPr>
              <w:t>’</w:t>
            </w:r>
            <w:r w:rsidRPr="00371DE8">
              <w:rPr>
                <w:spacing w:val="-2"/>
              </w:rPr>
              <w:t>s starter pack that guides patients to proper dosing for the first 30 days of treatment.</w:t>
            </w:r>
          </w:p>
          <w:p w14:paraId="4F30D557" w14:textId="77777777" w:rsidR="00980C99" w:rsidRDefault="00980C99" w:rsidP="00E35265">
            <w:pPr>
              <w:pStyle w:val="agenda-BODY"/>
              <w:rPr>
                <w:spacing w:val="-2"/>
              </w:rPr>
            </w:pPr>
          </w:p>
          <w:p w14:paraId="1F754C04" w14:textId="77777777" w:rsidR="002945BD" w:rsidRPr="00371DE8" w:rsidRDefault="002945BD" w:rsidP="00E35265">
            <w:pPr>
              <w:pStyle w:val="agenda-BODY"/>
              <w:rPr>
                <w:spacing w:val="-2"/>
              </w:rPr>
            </w:pPr>
          </w:p>
        </w:tc>
        <w:tc>
          <w:tcPr>
            <w:tcW w:w="3982" w:type="dxa"/>
            <w:tcBorders>
              <w:top w:val="single" w:sz="6" w:space="0" w:color="0D4D9E"/>
              <w:bottom w:val="single" w:sz="6" w:space="0" w:color="0D4D9E"/>
            </w:tcBorders>
            <w:shd w:val="clear" w:color="auto" w:fill="F0EBD3"/>
          </w:tcPr>
          <w:p w14:paraId="71F1EE05" w14:textId="77777777" w:rsidR="002F1BAB" w:rsidRPr="00371DE8" w:rsidRDefault="002F1BAB" w:rsidP="00E35265">
            <w:pPr>
              <w:pStyle w:val="agenda-BODY"/>
              <w:rPr>
                <w:spacing w:val="-2"/>
              </w:rPr>
            </w:pPr>
            <w:r w:rsidRPr="00371DE8">
              <w:rPr>
                <w:spacing w:val="-2"/>
              </w:rPr>
              <w:t>Prescriptions for the 20 mg daily dose should not be communicated to the pharmacy until a few days before it is to start. If prescribers must prescribe both dosing regimens at the same time, provide clear prescription directions and discharge instructions to the patient that the 20 mg tablets are to be started when the 15 mg tablets are finished and ensure they are understood. The statement, “Begin taking after [date]” should be included in the Xarelto 20 mg directions. Ensure the patient has received these explicit instructions verbally and in writing. Patient education by pharmacists for selected high-alert drugs, such as anticoagulants, should be mandated. Improved, effective computer warnings that are not easy to bypass are also required.</w:t>
            </w:r>
          </w:p>
        </w:tc>
        <w:tc>
          <w:tcPr>
            <w:tcW w:w="2970" w:type="dxa"/>
            <w:tcBorders>
              <w:top w:val="single" w:sz="6" w:space="0" w:color="0D4D9E"/>
              <w:bottom w:val="single" w:sz="6" w:space="0" w:color="0D4D9E"/>
            </w:tcBorders>
            <w:shd w:val="clear" w:color="auto" w:fill="FFFFFF"/>
          </w:tcPr>
          <w:p w14:paraId="69453B56" w14:textId="77777777" w:rsidR="002F1BAB" w:rsidRPr="00C02132" w:rsidRDefault="002F1BAB" w:rsidP="00B36686">
            <w:pPr>
              <w:pStyle w:val="AC-table-body"/>
              <w:tabs>
                <w:tab w:val="clear" w:pos="5735"/>
                <w:tab w:val="clear" w:pos="7906"/>
                <w:tab w:val="clear" w:pos="10080"/>
              </w:tabs>
            </w:pPr>
          </w:p>
        </w:tc>
        <w:tc>
          <w:tcPr>
            <w:tcW w:w="2447" w:type="dxa"/>
            <w:tcBorders>
              <w:top w:val="single" w:sz="6" w:space="0" w:color="0D4D9E"/>
              <w:bottom w:val="single" w:sz="6" w:space="0" w:color="0D4D9E"/>
            </w:tcBorders>
            <w:shd w:val="clear" w:color="auto" w:fill="FFFFFF"/>
          </w:tcPr>
          <w:p w14:paraId="20024675" w14:textId="77777777" w:rsidR="002F1BAB" w:rsidRPr="00C02132" w:rsidRDefault="002F1BAB" w:rsidP="00B36686">
            <w:pPr>
              <w:pStyle w:val="AC-table-body"/>
              <w:tabs>
                <w:tab w:val="clear" w:pos="5735"/>
                <w:tab w:val="clear" w:pos="7906"/>
                <w:tab w:val="clear" w:pos="10080"/>
              </w:tabs>
            </w:pPr>
          </w:p>
        </w:tc>
        <w:tc>
          <w:tcPr>
            <w:tcW w:w="942" w:type="dxa"/>
            <w:tcBorders>
              <w:top w:val="single" w:sz="6" w:space="0" w:color="0D4D9E"/>
              <w:bottom w:val="single" w:sz="6" w:space="0" w:color="0D4D9E"/>
            </w:tcBorders>
            <w:shd w:val="clear" w:color="auto" w:fill="FFFFFF"/>
          </w:tcPr>
          <w:p w14:paraId="1255C5C8" w14:textId="77777777" w:rsidR="002F1BAB" w:rsidRPr="00C02132" w:rsidRDefault="002F1BAB" w:rsidP="00B36686">
            <w:pPr>
              <w:pStyle w:val="AC-table-body"/>
              <w:tabs>
                <w:tab w:val="clear" w:pos="5735"/>
                <w:tab w:val="clear" w:pos="7906"/>
                <w:tab w:val="clear" w:pos="10080"/>
              </w:tabs>
            </w:pPr>
          </w:p>
        </w:tc>
      </w:tr>
      <w:tr w:rsidR="00481D01" w:rsidRPr="00C02132" w14:paraId="441EE0BB" w14:textId="77777777" w:rsidTr="002945BD">
        <w:trPr>
          <w:jc w:val="center"/>
        </w:trPr>
        <w:tc>
          <w:tcPr>
            <w:tcW w:w="14988" w:type="dxa"/>
            <w:gridSpan w:val="6"/>
            <w:tcBorders>
              <w:top w:val="single" w:sz="6" w:space="0" w:color="0D4D9E"/>
              <w:bottom w:val="single" w:sz="6" w:space="0" w:color="0D4D9E"/>
            </w:tcBorders>
            <w:shd w:val="clear" w:color="auto" w:fill="BBCEEB"/>
          </w:tcPr>
          <w:p w14:paraId="02E5C763" w14:textId="77777777" w:rsidR="00481D01" w:rsidRPr="007622A8" w:rsidRDefault="002F1BAB" w:rsidP="00481D01">
            <w:pPr>
              <w:pStyle w:val="Acutecare-new-agenda-hed"/>
              <w:tabs>
                <w:tab w:val="clear" w:pos="5735"/>
                <w:tab w:val="clear" w:pos="7906"/>
                <w:tab w:val="clear" w:pos="10080"/>
              </w:tabs>
              <w:jc w:val="center"/>
              <w:rPr>
                <w:b w:val="0"/>
              </w:rPr>
            </w:pPr>
            <w:r w:rsidRPr="00371DE8">
              <w:t>Reconstitution error with SHINGRIX (zoster vaccine recombinant, adjuvanted, or RZV) vaccine</w:t>
            </w:r>
          </w:p>
        </w:tc>
      </w:tr>
      <w:tr w:rsidR="002F1BAB" w:rsidRPr="00C02132" w14:paraId="678DE52B" w14:textId="77777777" w:rsidTr="002945BD">
        <w:trPr>
          <w:jc w:val="center"/>
        </w:trPr>
        <w:tc>
          <w:tcPr>
            <w:tcW w:w="792" w:type="dxa"/>
            <w:tcBorders>
              <w:top w:val="single" w:sz="6" w:space="0" w:color="0D4D9E"/>
              <w:bottom w:val="single" w:sz="6" w:space="0" w:color="0D4D9E"/>
            </w:tcBorders>
            <w:shd w:val="clear" w:color="auto" w:fill="F0EBD3"/>
          </w:tcPr>
          <w:p w14:paraId="6FA02F83" w14:textId="77777777" w:rsidR="002F1BAB" w:rsidRPr="00371DE8" w:rsidRDefault="002F1BAB" w:rsidP="00E35265">
            <w:pPr>
              <w:pStyle w:val="Acutecare-new-agenda-hed"/>
              <w:tabs>
                <w:tab w:val="clear" w:pos="5735"/>
                <w:tab w:val="clear" w:pos="7906"/>
                <w:tab w:val="clear" w:pos="10080"/>
              </w:tabs>
              <w:rPr>
                <w:rFonts w:eastAsia="Univers LT Std 57 Cn" w:cs="Univers LT Std 57 Cn"/>
                <w:w w:val="110"/>
              </w:rPr>
            </w:pPr>
            <w:r w:rsidRPr="00371DE8">
              <w:rPr>
                <w:rFonts w:ascii="Univers LT Std 47 Cn Lt" w:eastAsia="Univers LT Std 47 Cn Lt" w:hAnsi="Univers LT Std 47 Cn Lt" w:cs="Univers LT Std 47 Cn Lt"/>
                <w:b w:val="0"/>
                <w:w w:val="110"/>
              </w:rPr>
              <w:t>12/18</w:t>
            </w:r>
          </w:p>
        </w:tc>
        <w:tc>
          <w:tcPr>
            <w:tcW w:w="3855" w:type="dxa"/>
            <w:tcBorders>
              <w:top w:val="single" w:sz="6" w:space="0" w:color="0D4D9E"/>
              <w:bottom w:val="single" w:sz="6" w:space="0" w:color="0D4D9E"/>
            </w:tcBorders>
            <w:shd w:val="clear" w:color="auto" w:fill="FFF3D6"/>
          </w:tcPr>
          <w:p w14:paraId="6F4BB3AA" w14:textId="77777777" w:rsidR="002F1BAB" w:rsidRDefault="002F1BAB" w:rsidP="00980C99">
            <w:pPr>
              <w:pStyle w:val="agenda-BODY"/>
              <w:rPr>
                <w:rFonts w:eastAsia="Univers LT Std 47 Cn Lt"/>
                <w:b/>
                <w:w w:val="110"/>
              </w:rPr>
            </w:pPr>
            <w:proofErr w:type="spellStart"/>
            <w:r w:rsidRPr="00371DE8">
              <w:rPr>
                <w:rFonts w:eastAsia="Univers LT Std 47 Cn Lt"/>
                <w:w w:val="110"/>
              </w:rPr>
              <w:t>Shingrix</w:t>
            </w:r>
            <w:proofErr w:type="spellEnd"/>
            <w:r w:rsidRPr="00371DE8">
              <w:rPr>
                <w:rFonts w:eastAsia="Univers LT Std 47 Cn Lt"/>
                <w:w w:val="110"/>
              </w:rPr>
              <w:t xml:space="preserve"> is comprised of two components, a lyophilized </w:t>
            </w:r>
            <w:proofErr w:type="spellStart"/>
            <w:r w:rsidRPr="00371DE8">
              <w:rPr>
                <w:rFonts w:eastAsia="Univers LT Std 47 Cn Lt"/>
                <w:w w:val="110"/>
              </w:rPr>
              <w:t>gE</w:t>
            </w:r>
            <w:proofErr w:type="spellEnd"/>
            <w:r w:rsidRPr="00371DE8">
              <w:rPr>
                <w:rFonts w:eastAsia="Univers LT Std 47 Cn Lt"/>
                <w:w w:val="110"/>
              </w:rPr>
              <w:t xml:space="preserve"> antigen component and an adjuvant suspension component. The lyophilized component must be reconstituted with the adjuvant suspension before administration. Recently, a pharmacist mistakenly administered only the </w:t>
            </w:r>
            <w:proofErr w:type="spellStart"/>
            <w:r w:rsidRPr="00371DE8">
              <w:rPr>
                <w:rFonts w:eastAsia="Univers LT Std 47 Cn Lt"/>
                <w:w w:val="110"/>
              </w:rPr>
              <w:t>Shingrix</w:t>
            </w:r>
            <w:proofErr w:type="spellEnd"/>
            <w:r w:rsidRPr="00371DE8">
              <w:rPr>
                <w:rFonts w:eastAsia="Univers LT Std 47 Cn Lt"/>
                <w:w w:val="110"/>
              </w:rPr>
              <w:t xml:space="preserve"> adjuvant suspension. He failed to use the adjuvant to first reconstitute the lyophilized </w:t>
            </w:r>
            <w:proofErr w:type="spellStart"/>
            <w:r w:rsidRPr="00371DE8">
              <w:rPr>
                <w:rFonts w:eastAsia="Univers LT Std 47 Cn Lt"/>
                <w:w w:val="110"/>
              </w:rPr>
              <w:t>gE</w:t>
            </w:r>
            <w:proofErr w:type="spellEnd"/>
            <w:r w:rsidRPr="00371DE8">
              <w:rPr>
                <w:rFonts w:eastAsia="Univers LT Std 47 Cn Lt"/>
                <w:w w:val="110"/>
              </w:rPr>
              <w:t xml:space="preserve"> antigen component of the </w:t>
            </w:r>
            <w:proofErr w:type="spellStart"/>
            <w:r w:rsidRPr="00371DE8">
              <w:rPr>
                <w:rFonts w:eastAsia="Univers LT Std 47 Cn Lt"/>
                <w:w w:val="110"/>
              </w:rPr>
              <w:t>Shingrix</w:t>
            </w:r>
            <w:proofErr w:type="spellEnd"/>
            <w:r w:rsidRPr="00371DE8">
              <w:rPr>
                <w:rFonts w:eastAsia="Univers LT Std 47 Cn Lt"/>
                <w:w w:val="110"/>
              </w:rPr>
              <w:t xml:space="preserve"> vaccine. As a result, the patient was left unknowingly vulnerable to disease.</w:t>
            </w:r>
          </w:p>
          <w:p w14:paraId="4638835C" w14:textId="77777777" w:rsidR="002945BD" w:rsidRDefault="002945BD" w:rsidP="00E35265">
            <w:pPr>
              <w:pStyle w:val="Acutecare-new-agenda-hed"/>
              <w:tabs>
                <w:tab w:val="clear" w:pos="5735"/>
                <w:tab w:val="clear" w:pos="7906"/>
                <w:tab w:val="clear" w:pos="10080"/>
              </w:tabs>
              <w:rPr>
                <w:rFonts w:ascii="Univers LT Std 47 Cn Lt" w:eastAsia="Univers LT Std 47 Cn Lt" w:hAnsi="Univers LT Std 47 Cn Lt" w:cs="Univers LT Std 47 Cn Lt"/>
                <w:b w:val="0"/>
                <w:w w:val="110"/>
              </w:rPr>
            </w:pPr>
          </w:p>
          <w:p w14:paraId="01142AFB" w14:textId="77777777" w:rsidR="002945BD" w:rsidRPr="00371DE8" w:rsidRDefault="002945BD" w:rsidP="00E35265">
            <w:pPr>
              <w:pStyle w:val="Acutecare-new-agenda-hed"/>
              <w:tabs>
                <w:tab w:val="clear" w:pos="5735"/>
                <w:tab w:val="clear" w:pos="7906"/>
                <w:tab w:val="clear" w:pos="10080"/>
              </w:tabs>
              <w:rPr>
                <w:rFonts w:ascii="Univers LT Std 47 Cn Lt" w:eastAsia="Univers LT Std 47 Cn Lt" w:hAnsi="Univers LT Std 47 Cn Lt" w:cs="Univers LT Std 47 Cn Lt"/>
                <w:b w:val="0"/>
                <w:w w:val="110"/>
              </w:rPr>
            </w:pPr>
          </w:p>
        </w:tc>
        <w:tc>
          <w:tcPr>
            <w:tcW w:w="3982" w:type="dxa"/>
            <w:tcBorders>
              <w:top w:val="single" w:sz="6" w:space="0" w:color="0D4D9E"/>
              <w:bottom w:val="single" w:sz="6" w:space="0" w:color="0D4D9E"/>
            </w:tcBorders>
            <w:shd w:val="clear" w:color="auto" w:fill="F0EBD3"/>
          </w:tcPr>
          <w:p w14:paraId="7DC18864" w14:textId="77777777" w:rsidR="002F1BAB" w:rsidRPr="00371DE8" w:rsidRDefault="002F1BAB" w:rsidP="00980C99">
            <w:pPr>
              <w:pStyle w:val="agenda-BODY"/>
              <w:rPr>
                <w:rFonts w:eastAsia="Univers LT Std 47 Cn Lt"/>
                <w:b/>
                <w:spacing w:val="-3"/>
                <w:w w:val="110"/>
              </w:rPr>
            </w:pPr>
            <w:r w:rsidRPr="00371DE8">
              <w:rPr>
                <w:rFonts w:eastAsia="Univers LT Std 47 Cn Lt"/>
                <w:w w:val="110"/>
              </w:rPr>
              <w:t xml:space="preserve">Employ a system to ensure the </w:t>
            </w:r>
            <w:proofErr w:type="spellStart"/>
            <w:r w:rsidRPr="00371DE8">
              <w:rPr>
                <w:rFonts w:eastAsia="Univers LT Std 47 Cn Lt"/>
                <w:w w:val="110"/>
              </w:rPr>
              <w:t>Shingrix</w:t>
            </w:r>
            <w:proofErr w:type="spellEnd"/>
            <w:r w:rsidRPr="00371DE8">
              <w:rPr>
                <w:rFonts w:eastAsia="Univers LT Std 47 Cn Lt"/>
                <w:w w:val="110"/>
              </w:rPr>
              <w:t xml:space="preserve"> lyophilized component and adjuvant suspension vials are stored with one another to reduce the risk of administering only the adjuvant suspension or using a diluent from another vaccine. The Centers for Disease Control and Prevention (CDC) </w:t>
            </w:r>
            <w:r w:rsidRPr="00371DE8">
              <w:rPr>
                <w:rFonts w:eastAsia="Univers LT Std 47 Cn Lt"/>
                <w:spacing w:val="-3"/>
                <w:w w:val="110"/>
              </w:rPr>
              <w:t xml:space="preserve">provides information about proper storage, administration, and handling of both zoster vaccines, </w:t>
            </w:r>
            <w:proofErr w:type="spellStart"/>
            <w:r w:rsidRPr="00371DE8">
              <w:rPr>
                <w:rFonts w:eastAsia="Univers LT Std 47 Cn Lt"/>
                <w:spacing w:val="-3"/>
                <w:w w:val="110"/>
              </w:rPr>
              <w:t>Shingrix</w:t>
            </w:r>
            <w:proofErr w:type="spellEnd"/>
            <w:r w:rsidRPr="00371DE8">
              <w:rPr>
                <w:rFonts w:eastAsia="Univers LT Std 47 Cn Lt"/>
                <w:spacing w:val="-3"/>
                <w:w w:val="110"/>
              </w:rPr>
              <w:t xml:space="preserve"> and ZOSTAVAX, along with strategies to prevent administration errors (</w:t>
            </w:r>
            <w:r w:rsidRPr="00371DE8">
              <w:rPr>
                <w:rFonts w:eastAsia="Univers LT Std 47 Cn Lt"/>
                <w:color w:val="0000FF"/>
                <w:spacing w:val="-3"/>
                <w:w w:val="110"/>
                <w:u w:val="single"/>
              </w:rPr>
              <w:t>www.ismp.org/ext/22</w:t>
            </w:r>
            <w:r w:rsidRPr="00371DE8">
              <w:rPr>
                <w:rFonts w:eastAsia="Univers LT Std 47 Cn Lt"/>
                <w:spacing w:val="-3"/>
                <w:w w:val="110"/>
              </w:rPr>
              <w:t>).</w:t>
            </w:r>
          </w:p>
        </w:tc>
        <w:tc>
          <w:tcPr>
            <w:tcW w:w="2970" w:type="dxa"/>
            <w:tcBorders>
              <w:top w:val="single" w:sz="6" w:space="0" w:color="0D4D9E"/>
              <w:bottom w:val="single" w:sz="6" w:space="0" w:color="0D4D9E"/>
            </w:tcBorders>
            <w:shd w:val="clear" w:color="auto" w:fill="FFFFFF"/>
          </w:tcPr>
          <w:p w14:paraId="049A60CA" w14:textId="77777777" w:rsidR="002F1BAB" w:rsidRPr="00C02132" w:rsidRDefault="002F1BAB" w:rsidP="00B36686">
            <w:pPr>
              <w:pStyle w:val="Acutecare-new-agenda-hed"/>
              <w:tabs>
                <w:tab w:val="clear" w:pos="5735"/>
                <w:tab w:val="clear" w:pos="7906"/>
                <w:tab w:val="clear" w:pos="10080"/>
              </w:tabs>
            </w:pPr>
          </w:p>
        </w:tc>
        <w:tc>
          <w:tcPr>
            <w:tcW w:w="2447" w:type="dxa"/>
            <w:tcBorders>
              <w:top w:val="single" w:sz="6" w:space="0" w:color="0D4D9E"/>
              <w:bottom w:val="single" w:sz="6" w:space="0" w:color="0D4D9E"/>
            </w:tcBorders>
            <w:shd w:val="clear" w:color="auto" w:fill="FFFFFF"/>
          </w:tcPr>
          <w:p w14:paraId="317FD929" w14:textId="77777777" w:rsidR="002F1BAB" w:rsidRPr="00C02132" w:rsidRDefault="002F1BAB" w:rsidP="00B36686">
            <w:pPr>
              <w:pStyle w:val="Acutecare-new-agenda-hed"/>
              <w:tabs>
                <w:tab w:val="clear" w:pos="5735"/>
                <w:tab w:val="clear" w:pos="7906"/>
                <w:tab w:val="clear" w:pos="10080"/>
              </w:tabs>
            </w:pPr>
          </w:p>
        </w:tc>
        <w:tc>
          <w:tcPr>
            <w:tcW w:w="942" w:type="dxa"/>
            <w:tcBorders>
              <w:top w:val="single" w:sz="6" w:space="0" w:color="0D4D9E"/>
              <w:bottom w:val="single" w:sz="6" w:space="0" w:color="0D4D9E"/>
            </w:tcBorders>
            <w:shd w:val="clear" w:color="auto" w:fill="FFFFFF"/>
          </w:tcPr>
          <w:p w14:paraId="10BAC114" w14:textId="77777777" w:rsidR="002F1BAB" w:rsidRPr="00C02132" w:rsidRDefault="002F1BAB" w:rsidP="00B36686">
            <w:pPr>
              <w:pStyle w:val="Acutecare-new-agenda-hed"/>
              <w:tabs>
                <w:tab w:val="clear" w:pos="5735"/>
                <w:tab w:val="clear" w:pos="7906"/>
                <w:tab w:val="clear" w:pos="10080"/>
              </w:tabs>
            </w:pPr>
          </w:p>
        </w:tc>
      </w:tr>
      <w:tr w:rsidR="0063613F" w:rsidRPr="00C02132" w14:paraId="3DF83BC9" w14:textId="77777777" w:rsidTr="002945BD">
        <w:trPr>
          <w:jc w:val="center"/>
        </w:trPr>
        <w:tc>
          <w:tcPr>
            <w:tcW w:w="14988" w:type="dxa"/>
            <w:gridSpan w:val="6"/>
            <w:tcBorders>
              <w:top w:val="single" w:sz="6" w:space="0" w:color="0D4D9E"/>
              <w:bottom w:val="single" w:sz="6" w:space="0" w:color="0D4D9E"/>
            </w:tcBorders>
            <w:shd w:val="clear" w:color="auto" w:fill="BBCEEB"/>
          </w:tcPr>
          <w:p w14:paraId="499D98B5" w14:textId="77777777" w:rsidR="0063613F" w:rsidRPr="00AE2336" w:rsidRDefault="00382FBB" w:rsidP="0063613F">
            <w:pPr>
              <w:pStyle w:val="Acutecare-new-agenda-hed"/>
              <w:tabs>
                <w:tab w:val="clear" w:pos="5735"/>
                <w:tab w:val="clear" w:pos="7906"/>
                <w:tab w:val="clear" w:pos="10080"/>
              </w:tabs>
              <w:jc w:val="center"/>
            </w:pPr>
            <w:r w:rsidRPr="00371DE8">
              <w:lastRenderedPageBreak/>
              <w:t>Reporting and second-order problem solving can turn short-term fixes into long-term remedies</w:t>
            </w:r>
          </w:p>
        </w:tc>
      </w:tr>
      <w:tr w:rsidR="00382FBB" w:rsidRPr="00C02132" w14:paraId="1719DFF1" w14:textId="77777777" w:rsidTr="002945BD">
        <w:trPr>
          <w:jc w:val="center"/>
        </w:trPr>
        <w:tc>
          <w:tcPr>
            <w:tcW w:w="792" w:type="dxa"/>
            <w:tcBorders>
              <w:top w:val="single" w:sz="6" w:space="0" w:color="0D4D9E"/>
              <w:bottom w:val="single" w:sz="6" w:space="0" w:color="0D4D9E"/>
            </w:tcBorders>
            <w:shd w:val="clear" w:color="auto" w:fill="F0EBD3"/>
          </w:tcPr>
          <w:p w14:paraId="771A544D" w14:textId="77777777" w:rsidR="00382FBB" w:rsidRPr="00371DE8" w:rsidRDefault="00382FBB" w:rsidP="00E35265">
            <w:pPr>
              <w:pStyle w:val="agenda-BODY"/>
            </w:pPr>
            <w:r w:rsidRPr="00371DE8">
              <w:t>11/18</w:t>
            </w:r>
          </w:p>
        </w:tc>
        <w:tc>
          <w:tcPr>
            <w:tcW w:w="3855" w:type="dxa"/>
            <w:tcBorders>
              <w:top w:val="single" w:sz="6" w:space="0" w:color="0D4D9E"/>
              <w:bottom w:val="single" w:sz="6" w:space="0" w:color="0D4D9E"/>
            </w:tcBorders>
            <w:shd w:val="clear" w:color="auto" w:fill="FFF3D6"/>
          </w:tcPr>
          <w:p w14:paraId="4820F659" w14:textId="77777777" w:rsidR="00382FBB" w:rsidRDefault="00382FBB" w:rsidP="00E35265">
            <w:pPr>
              <w:pStyle w:val="agenda-BODY"/>
              <w:rPr>
                <w:spacing w:val="-3"/>
              </w:rPr>
            </w:pPr>
            <w:r w:rsidRPr="00371DE8">
              <w:rPr>
                <w:spacing w:val="-3"/>
              </w:rPr>
              <w:t>Practitioners who are repeatedly challenged by unexpected work system failures that hinder patient care have become proficient in working around these failures to get the job done. These quick fixes, called first-order problem solving, are often considered to be signs of resourcefulness. However, these quick fixes, transfer problems to another time, person, or place. Failure to use second-order problem solving (i.e., report problems, understand why they exist, correct the problem) hinders long-term remedies. The culture often emphasizes quick fixes above learning from failures and improving system reliability.</w:t>
            </w:r>
          </w:p>
          <w:p w14:paraId="33978F39" w14:textId="77777777" w:rsidR="002945BD" w:rsidRDefault="002945BD" w:rsidP="00E35265">
            <w:pPr>
              <w:pStyle w:val="agenda-BODY"/>
              <w:rPr>
                <w:spacing w:val="-3"/>
              </w:rPr>
            </w:pPr>
          </w:p>
          <w:p w14:paraId="585E3DD8" w14:textId="77777777" w:rsidR="002945BD" w:rsidRDefault="002945BD" w:rsidP="00E35265">
            <w:pPr>
              <w:pStyle w:val="agenda-BODY"/>
              <w:rPr>
                <w:spacing w:val="-3"/>
              </w:rPr>
            </w:pPr>
          </w:p>
          <w:p w14:paraId="327773E4" w14:textId="77777777" w:rsidR="002945BD" w:rsidRPr="00371DE8" w:rsidRDefault="002945BD" w:rsidP="00E35265">
            <w:pPr>
              <w:pStyle w:val="agenda-BODY"/>
              <w:rPr>
                <w:spacing w:val="-3"/>
              </w:rPr>
            </w:pPr>
          </w:p>
        </w:tc>
        <w:tc>
          <w:tcPr>
            <w:tcW w:w="3982" w:type="dxa"/>
            <w:tcBorders>
              <w:top w:val="single" w:sz="6" w:space="0" w:color="0D4D9E"/>
              <w:bottom w:val="single" w:sz="6" w:space="0" w:color="0D4D9E"/>
            </w:tcBorders>
            <w:shd w:val="clear" w:color="auto" w:fill="F0EBD3"/>
          </w:tcPr>
          <w:p w14:paraId="2BA5C54D" w14:textId="77777777" w:rsidR="00382FBB" w:rsidRPr="00371DE8" w:rsidRDefault="00382FBB" w:rsidP="00E35265">
            <w:pPr>
              <w:pStyle w:val="agenda-BODY"/>
              <w:rPr>
                <w:spacing w:val="-2"/>
              </w:rPr>
            </w:pPr>
            <w:r w:rsidRPr="00371DE8">
              <w:rPr>
                <w:spacing w:val="-2"/>
              </w:rPr>
              <w:t>To promote organizational learning, create an environment of psychological safety that fosters open reporting, active questioning, and frequent sharing of insights and concerns. Encourage practitioners to both handle the unexpected problem and then report it so steps can be taken to address its underlying causes. Create capacity for second-order problem solving to occur as close as possible to when and where the problem occurred. Once a problem has been identified and the underlying causes examined, proper attention must be paid to reducing its recurrence by developing an action plan to address the systems’ weak points</w:t>
            </w:r>
          </w:p>
        </w:tc>
        <w:tc>
          <w:tcPr>
            <w:tcW w:w="2970" w:type="dxa"/>
            <w:tcBorders>
              <w:top w:val="single" w:sz="6" w:space="0" w:color="0D4D9E"/>
              <w:bottom w:val="single" w:sz="6" w:space="0" w:color="0D4D9E"/>
            </w:tcBorders>
            <w:shd w:val="clear" w:color="auto" w:fill="FFFFFF"/>
          </w:tcPr>
          <w:p w14:paraId="118EDBCA" w14:textId="77777777" w:rsidR="00382FBB" w:rsidRPr="00C02132" w:rsidRDefault="00382FBB" w:rsidP="00B36686">
            <w:pPr>
              <w:pStyle w:val="Acutecare-new-agenda-hed"/>
              <w:tabs>
                <w:tab w:val="clear" w:pos="5735"/>
                <w:tab w:val="clear" w:pos="7906"/>
                <w:tab w:val="clear" w:pos="10080"/>
              </w:tabs>
            </w:pPr>
            <w:bookmarkStart w:id="19" w:name="_GoBack"/>
            <w:bookmarkEnd w:id="19"/>
          </w:p>
        </w:tc>
        <w:tc>
          <w:tcPr>
            <w:tcW w:w="2447" w:type="dxa"/>
            <w:tcBorders>
              <w:top w:val="single" w:sz="6" w:space="0" w:color="0D4D9E"/>
              <w:bottom w:val="single" w:sz="6" w:space="0" w:color="0D4D9E"/>
            </w:tcBorders>
            <w:shd w:val="clear" w:color="auto" w:fill="FFFFFF"/>
          </w:tcPr>
          <w:p w14:paraId="30928C6E" w14:textId="77777777" w:rsidR="00382FBB" w:rsidRPr="00C02132" w:rsidRDefault="00382FBB" w:rsidP="00B36686">
            <w:pPr>
              <w:pStyle w:val="Acutecare-new-agenda-hed"/>
              <w:tabs>
                <w:tab w:val="clear" w:pos="5735"/>
                <w:tab w:val="clear" w:pos="7906"/>
                <w:tab w:val="clear" w:pos="10080"/>
              </w:tabs>
            </w:pPr>
          </w:p>
        </w:tc>
        <w:tc>
          <w:tcPr>
            <w:tcW w:w="942" w:type="dxa"/>
            <w:tcBorders>
              <w:top w:val="single" w:sz="6" w:space="0" w:color="0D4D9E"/>
              <w:bottom w:val="single" w:sz="6" w:space="0" w:color="0D4D9E"/>
            </w:tcBorders>
            <w:shd w:val="clear" w:color="auto" w:fill="FFFFFF"/>
          </w:tcPr>
          <w:p w14:paraId="01222CB6" w14:textId="77777777" w:rsidR="00382FBB" w:rsidRPr="00C02132" w:rsidRDefault="00382FBB" w:rsidP="00B36686">
            <w:pPr>
              <w:pStyle w:val="Acutecare-new-agenda-hed"/>
              <w:tabs>
                <w:tab w:val="clear" w:pos="5735"/>
                <w:tab w:val="clear" w:pos="7906"/>
                <w:tab w:val="clear" w:pos="10080"/>
              </w:tabs>
            </w:pPr>
          </w:p>
        </w:tc>
      </w:tr>
      <w:tr w:rsidR="0063613F" w:rsidRPr="00C02132" w14:paraId="5A721A51" w14:textId="77777777" w:rsidTr="002945BD">
        <w:trPr>
          <w:jc w:val="center"/>
        </w:trPr>
        <w:tc>
          <w:tcPr>
            <w:tcW w:w="14988" w:type="dxa"/>
            <w:gridSpan w:val="6"/>
            <w:tcBorders>
              <w:top w:val="single" w:sz="6" w:space="0" w:color="0D4D9E"/>
              <w:bottom w:val="single" w:sz="6" w:space="0" w:color="0D4D9E"/>
            </w:tcBorders>
            <w:shd w:val="clear" w:color="auto" w:fill="BBCEEB"/>
          </w:tcPr>
          <w:p w14:paraId="56B0DF44" w14:textId="77777777" w:rsidR="0063613F" w:rsidRPr="00AE2336" w:rsidRDefault="00382FBB" w:rsidP="0063613F">
            <w:pPr>
              <w:pStyle w:val="Acutecare-new-agenda-hed"/>
              <w:tabs>
                <w:tab w:val="clear" w:pos="5735"/>
                <w:tab w:val="clear" w:pos="7906"/>
                <w:tab w:val="clear" w:pos="10080"/>
              </w:tabs>
              <w:jc w:val="center"/>
            </w:pPr>
            <w:r w:rsidRPr="00371DE8">
              <w:t>Container label changes for vitamin A, D, and E</w:t>
            </w:r>
          </w:p>
        </w:tc>
      </w:tr>
      <w:tr w:rsidR="00382FBB" w:rsidRPr="00C02132" w14:paraId="5E16E7DE" w14:textId="77777777" w:rsidTr="002945BD">
        <w:trPr>
          <w:jc w:val="center"/>
        </w:trPr>
        <w:tc>
          <w:tcPr>
            <w:tcW w:w="792" w:type="dxa"/>
            <w:tcBorders>
              <w:top w:val="single" w:sz="6" w:space="0" w:color="0D4D9E"/>
              <w:bottom w:val="single" w:sz="6" w:space="0" w:color="0D4D9E"/>
            </w:tcBorders>
            <w:shd w:val="clear" w:color="auto" w:fill="F0EBD3"/>
          </w:tcPr>
          <w:p w14:paraId="66687914" w14:textId="77777777" w:rsidR="00382FBB" w:rsidRPr="00371DE8" w:rsidRDefault="00382FBB" w:rsidP="00E35265">
            <w:pPr>
              <w:pStyle w:val="agenda-BODY"/>
            </w:pPr>
            <w:r w:rsidRPr="00371DE8">
              <w:t>10/18</w:t>
            </w:r>
          </w:p>
        </w:tc>
        <w:tc>
          <w:tcPr>
            <w:tcW w:w="3855" w:type="dxa"/>
            <w:tcBorders>
              <w:top w:val="single" w:sz="6" w:space="0" w:color="0D4D9E"/>
              <w:bottom w:val="single" w:sz="6" w:space="0" w:color="0D4D9E"/>
            </w:tcBorders>
            <w:shd w:val="clear" w:color="auto" w:fill="FFF3D6"/>
          </w:tcPr>
          <w:p w14:paraId="50F9E46F" w14:textId="77777777" w:rsidR="00382FBB" w:rsidRDefault="00382FBB" w:rsidP="00E35265">
            <w:pPr>
              <w:pStyle w:val="agenda-BODY"/>
              <w:rPr>
                <w:spacing w:val="-2"/>
              </w:rPr>
            </w:pPr>
            <w:r w:rsidRPr="00371DE8">
              <w:rPr>
                <w:spacing w:val="-2"/>
              </w:rPr>
              <w:t xml:space="preserve">The US Food and Drug Administration (FDA) published a final rule that requires listing the absolute amounts of vitamins and minerals in mg or mcg in addition to the percent daily value (% DV) on the label. Packages of over-the-counter fat-soluble vitamins A, D, and </w:t>
            </w:r>
            <w:proofErr w:type="spellStart"/>
            <w:r w:rsidRPr="00371DE8">
              <w:rPr>
                <w:spacing w:val="-2"/>
              </w:rPr>
              <w:t>E</w:t>
            </w:r>
            <w:proofErr w:type="spellEnd"/>
            <w:r w:rsidRPr="00371DE8">
              <w:rPr>
                <w:spacing w:val="-2"/>
              </w:rPr>
              <w:t xml:space="preserve"> have already started to reflect this change. Unfortunately, there is no equivalency expressed on the labeling from the old format to the new (international units to metric weight).</w:t>
            </w:r>
          </w:p>
          <w:p w14:paraId="1DBD4CF2" w14:textId="77777777" w:rsidR="002945BD" w:rsidRDefault="002945BD" w:rsidP="00E35265">
            <w:pPr>
              <w:pStyle w:val="agenda-BODY"/>
              <w:rPr>
                <w:spacing w:val="-2"/>
              </w:rPr>
            </w:pPr>
          </w:p>
          <w:p w14:paraId="023D927F" w14:textId="77777777" w:rsidR="002945BD" w:rsidRDefault="002945BD" w:rsidP="00E35265">
            <w:pPr>
              <w:pStyle w:val="agenda-BODY"/>
              <w:rPr>
                <w:spacing w:val="-2"/>
              </w:rPr>
            </w:pPr>
          </w:p>
          <w:p w14:paraId="0F29B68E" w14:textId="77777777" w:rsidR="002945BD" w:rsidRPr="00371DE8" w:rsidRDefault="002945BD" w:rsidP="00E35265">
            <w:pPr>
              <w:pStyle w:val="agenda-BODY"/>
              <w:rPr>
                <w:spacing w:val="-2"/>
              </w:rPr>
            </w:pPr>
          </w:p>
        </w:tc>
        <w:tc>
          <w:tcPr>
            <w:tcW w:w="3982" w:type="dxa"/>
            <w:tcBorders>
              <w:top w:val="single" w:sz="6" w:space="0" w:color="0D4D9E"/>
              <w:bottom w:val="single" w:sz="6" w:space="0" w:color="0D4D9E"/>
            </w:tcBorders>
            <w:shd w:val="clear" w:color="auto" w:fill="F0EBD3"/>
          </w:tcPr>
          <w:p w14:paraId="4E4D23B4" w14:textId="77777777" w:rsidR="00382FBB" w:rsidRPr="00371DE8" w:rsidRDefault="00382FBB" w:rsidP="00E35265">
            <w:pPr>
              <w:pStyle w:val="agenda-BODY"/>
              <w:rPr>
                <w:spacing w:val="-1"/>
              </w:rPr>
            </w:pPr>
            <w:r w:rsidRPr="00371DE8">
              <w:rPr>
                <w:spacing w:val="-1"/>
              </w:rPr>
              <w:t>Educate patients and practitioners about this change and how it will affect dosing if they use these vitamins. ISMP has requested consideration of public announcement about this change and supports requiring manufacturers to include the strength on container labels and Supplement Facts panels in both mg or mcg as well as international units in parentheses to allow for safe transition to metric weight labeling.</w:t>
            </w:r>
          </w:p>
        </w:tc>
        <w:tc>
          <w:tcPr>
            <w:tcW w:w="2970" w:type="dxa"/>
            <w:tcBorders>
              <w:top w:val="single" w:sz="6" w:space="0" w:color="0D4D9E"/>
              <w:bottom w:val="single" w:sz="6" w:space="0" w:color="0D4D9E"/>
            </w:tcBorders>
            <w:shd w:val="clear" w:color="auto" w:fill="FFFFFF"/>
          </w:tcPr>
          <w:p w14:paraId="005F9121" w14:textId="77777777" w:rsidR="00382FBB" w:rsidRPr="00C02132" w:rsidRDefault="00382FBB" w:rsidP="00B36686">
            <w:pPr>
              <w:pStyle w:val="Acutecare-new-agenda-hed"/>
              <w:tabs>
                <w:tab w:val="clear" w:pos="5735"/>
                <w:tab w:val="clear" w:pos="7906"/>
                <w:tab w:val="clear" w:pos="10080"/>
              </w:tabs>
            </w:pPr>
          </w:p>
        </w:tc>
        <w:tc>
          <w:tcPr>
            <w:tcW w:w="2447" w:type="dxa"/>
            <w:tcBorders>
              <w:top w:val="single" w:sz="6" w:space="0" w:color="0D4D9E"/>
              <w:bottom w:val="single" w:sz="6" w:space="0" w:color="0D4D9E"/>
            </w:tcBorders>
            <w:shd w:val="clear" w:color="auto" w:fill="FFFFFF"/>
          </w:tcPr>
          <w:p w14:paraId="6D4F3F34" w14:textId="77777777" w:rsidR="00382FBB" w:rsidRPr="00C02132" w:rsidRDefault="00382FBB" w:rsidP="00B36686">
            <w:pPr>
              <w:pStyle w:val="Acutecare-new-agenda-hed"/>
              <w:tabs>
                <w:tab w:val="clear" w:pos="5735"/>
                <w:tab w:val="clear" w:pos="7906"/>
                <w:tab w:val="clear" w:pos="10080"/>
              </w:tabs>
            </w:pPr>
          </w:p>
        </w:tc>
        <w:tc>
          <w:tcPr>
            <w:tcW w:w="942" w:type="dxa"/>
            <w:tcBorders>
              <w:top w:val="single" w:sz="6" w:space="0" w:color="0D4D9E"/>
              <w:bottom w:val="single" w:sz="6" w:space="0" w:color="0D4D9E"/>
            </w:tcBorders>
            <w:shd w:val="clear" w:color="auto" w:fill="FFFFFF"/>
          </w:tcPr>
          <w:p w14:paraId="1438B225" w14:textId="77777777" w:rsidR="00382FBB" w:rsidRPr="00C02132" w:rsidRDefault="00382FBB" w:rsidP="00B36686">
            <w:pPr>
              <w:pStyle w:val="Acutecare-new-agenda-hed"/>
              <w:tabs>
                <w:tab w:val="clear" w:pos="5735"/>
                <w:tab w:val="clear" w:pos="7906"/>
                <w:tab w:val="clear" w:pos="10080"/>
              </w:tabs>
            </w:pPr>
          </w:p>
        </w:tc>
      </w:tr>
      <w:tr w:rsidR="0063613F" w:rsidRPr="00C02132" w14:paraId="764221EA" w14:textId="77777777" w:rsidTr="002945BD">
        <w:trPr>
          <w:jc w:val="center"/>
        </w:trPr>
        <w:tc>
          <w:tcPr>
            <w:tcW w:w="14988" w:type="dxa"/>
            <w:gridSpan w:val="6"/>
            <w:tcBorders>
              <w:top w:val="single" w:sz="6" w:space="0" w:color="0D4D9E"/>
              <w:bottom w:val="single" w:sz="6" w:space="0" w:color="0D4D9E"/>
            </w:tcBorders>
            <w:shd w:val="clear" w:color="auto" w:fill="BBCEEB"/>
          </w:tcPr>
          <w:p w14:paraId="2FCA12DB" w14:textId="77777777" w:rsidR="0063613F" w:rsidRPr="001770AC" w:rsidRDefault="0026069B" w:rsidP="001770AC">
            <w:pPr>
              <w:pStyle w:val="Acutecare-new-agenda-hed"/>
              <w:jc w:val="center"/>
              <w:rPr>
                <w:bCs/>
              </w:rPr>
            </w:pPr>
            <w:r w:rsidRPr="00371DE8">
              <w:t xml:space="preserve">Generic </w:t>
            </w:r>
            <w:proofErr w:type="spellStart"/>
            <w:r w:rsidRPr="00371DE8">
              <w:t>EPINEPHrine</w:t>
            </w:r>
            <w:proofErr w:type="spellEnd"/>
            <w:r w:rsidRPr="00371DE8">
              <w:t xml:space="preserve"> 0.15 mg autoinjectors do not use the abbreviation “Jr”  </w:t>
            </w:r>
          </w:p>
        </w:tc>
      </w:tr>
      <w:tr w:rsidR="0026069B" w:rsidRPr="00C02132" w14:paraId="04AB525B" w14:textId="77777777" w:rsidTr="002945BD">
        <w:trPr>
          <w:jc w:val="center"/>
        </w:trPr>
        <w:tc>
          <w:tcPr>
            <w:tcW w:w="792" w:type="dxa"/>
            <w:tcBorders>
              <w:top w:val="single" w:sz="6" w:space="0" w:color="0D4D9E"/>
              <w:bottom w:val="single" w:sz="6" w:space="0" w:color="0D4D9E"/>
            </w:tcBorders>
            <w:shd w:val="clear" w:color="auto" w:fill="F0EBD3"/>
          </w:tcPr>
          <w:p w14:paraId="621BFD59" w14:textId="77777777" w:rsidR="00BD3999" w:rsidRDefault="0026069B" w:rsidP="00BD3999">
            <w:pPr>
              <w:pStyle w:val="agenda-BODY"/>
              <w:rPr>
                <w:rFonts w:eastAsia="Univers LT Std 47 Cn Lt"/>
                <w:w w:val="110"/>
              </w:rPr>
            </w:pPr>
            <w:r w:rsidRPr="00371DE8">
              <w:t>11/18</w:t>
            </w:r>
          </w:p>
          <w:p w14:paraId="66D33C89" w14:textId="77777777" w:rsidR="0026069B" w:rsidRPr="00371DE8" w:rsidRDefault="00BD3999" w:rsidP="00BD3999">
            <w:pPr>
              <w:pStyle w:val="agenda-BODY"/>
            </w:pPr>
            <w:r>
              <w:t xml:space="preserve"> </w:t>
            </w:r>
            <w:r>
              <w:rPr>
                <w:rFonts w:eastAsia="Akzidenz Grotesk BE Cn"/>
                <w:noProof/>
              </w:rPr>
              <w:drawing>
                <wp:inline distT="0" distB="0" distL="0" distR="0" wp14:anchorId="1201B347" wp14:editId="66475D84">
                  <wp:extent cx="167005" cy="127000"/>
                  <wp:effectExtent l="0" t="0" r="4445" b="6350"/>
                  <wp:docPr id="3" name="Picture 3"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855" w:type="dxa"/>
            <w:tcBorders>
              <w:top w:val="single" w:sz="6" w:space="0" w:color="0D4D9E"/>
              <w:bottom w:val="single" w:sz="6" w:space="0" w:color="0D4D9E"/>
            </w:tcBorders>
            <w:shd w:val="clear" w:color="auto" w:fill="FFF3D6"/>
          </w:tcPr>
          <w:p w14:paraId="50C6419D" w14:textId="77777777" w:rsidR="0026069B" w:rsidRDefault="0026069B" w:rsidP="00E35265">
            <w:pPr>
              <w:pStyle w:val="agenda-BODY"/>
              <w:rPr>
                <w:spacing w:val="-1"/>
              </w:rPr>
            </w:pPr>
            <w:r w:rsidRPr="00371DE8">
              <w:rPr>
                <w:spacing w:val="-1"/>
              </w:rPr>
              <w:t xml:space="preserve">Brand </w:t>
            </w:r>
            <w:proofErr w:type="spellStart"/>
            <w:r w:rsidRPr="00371DE8">
              <w:rPr>
                <w:b/>
                <w:spacing w:val="-1"/>
              </w:rPr>
              <w:t>EPINEPH</w:t>
            </w:r>
            <w:r w:rsidRPr="00371DE8">
              <w:rPr>
                <w:spacing w:val="-1"/>
              </w:rPr>
              <w:t>rine</w:t>
            </w:r>
            <w:proofErr w:type="spellEnd"/>
            <w:r w:rsidRPr="00371DE8">
              <w:rPr>
                <w:spacing w:val="-1"/>
              </w:rPr>
              <w:t xml:space="preserve"> autoinjectors, </w:t>
            </w:r>
            <w:r w:rsidRPr="00371DE8">
              <w:rPr>
                <w:b/>
                <w:spacing w:val="-1"/>
              </w:rPr>
              <w:t>EPIPEN</w:t>
            </w:r>
            <w:r w:rsidRPr="00371DE8">
              <w:rPr>
                <w:spacing w:val="-1"/>
              </w:rPr>
              <w:t xml:space="preserve"> (0.3 mg) and </w:t>
            </w:r>
            <w:r w:rsidRPr="00371DE8">
              <w:rPr>
                <w:b/>
                <w:spacing w:val="-1"/>
              </w:rPr>
              <w:t>EPIPEN JR</w:t>
            </w:r>
            <w:r w:rsidRPr="00371DE8">
              <w:rPr>
                <w:spacing w:val="-1"/>
              </w:rPr>
              <w:t xml:space="preserve"> (0.15</w:t>
            </w:r>
            <w:r w:rsidRPr="00371DE8">
              <w:rPr>
                <w:rFonts w:ascii="Arial" w:hAnsi="Arial" w:cs="Arial"/>
                <w:spacing w:val="-1"/>
              </w:rPr>
              <w:t> </w:t>
            </w:r>
            <w:r w:rsidRPr="00371DE8">
              <w:rPr>
                <w:spacing w:val="-1"/>
              </w:rPr>
              <w:t xml:space="preserve">mg), make it easy to determine which should be used for an adult or a child. Generic autoinjectors list only the metric strength (0.15 mg, 0.3 mg) and do not use the </w:t>
            </w:r>
            <w:r w:rsidRPr="00371DE8">
              <w:rPr>
                <w:rFonts w:cs="Univers LT Std 47 Cn Lt"/>
                <w:spacing w:val="-1"/>
              </w:rPr>
              <w:t>“</w:t>
            </w:r>
            <w:r w:rsidRPr="00371DE8">
              <w:rPr>
                <w:spacing w:val="-1"/>
              </w:rPr>
              <w:t>Jr</w:t>
            </w:r>
            <w:r w:rsidRPr="00371DE8">
              <w:rPr>
                <w:rFonts w:cs="Univers LT Std 47 Cn Lt"/>
                <w:spacing w:val="-1"/>
              </w:rPr>
              <w:t>”</w:t>
            </w:r>
            <w:r w:rsidRPr="00371DE8">
              <w:rPr>
                <w:spacing w:val="-1"/>
              </w:rPr>
              <w:t xml:space="preserve"> designation for the 0.15</w:t>
            </w:r>
            <w:r w:rsidRPr="00371DE8">
              <w:rPr>
                <w:rFonts w:ascii="Arial" w:hAnsi="Arial" w:cs="Arial"/>
                <w:spacing w:val="-1"/>
              </w:rPr>
              <w:t> </w:t>
            </w:r>
            <w:r w:rsidRPr="00371DE8">
              <w:rPr>
                <w:spacing w:val="-1"/>
              </w:rPr>
              <w:t>mg strength.</w:t>
            </w:r>
          </w:p>
          <w:p w14:paraId="60D008D0" w14:textId="77777777" w:rsidR="002945BD" w:rsidRDefault="002945BD" w:rsidP="00E35265">
            <w:pPr>
              <w:pStyle w:val="agenda-BODY"/>
              <w:rPr>
                <w:spacing w:val="-1"/>
              </w:rPr>
            </w:pPr>
          </w:p>
          <w:p w14:paraId="27EEF92B" w14:textId="77777777" w:rsidR="002945BD" w:rsidRDefault="002945BD" w:rsidP="00E35265">
            <w:pPr>
              <w:pStyle w:val="agenda-BODY"/>
              <w:rPr>
                <w:spacing w:val="-1"/>
              </w:rPr>
            </w:pPr>
          </w:p>
          <w:p w14:paraId="15D9A5CA" w14:textId="77777777" w:rsidR="002945BD" w:rsidRDefault="002945BD" w:rsidP="00E35265">
            <w:pPr>
              <w:pStyle w:val="agenda-BODY"/>
              <w:rPr>
                <w:spacing w:val="-1"/>
              </w:rPr>
            </w:pPr>
          </w:p>
          <w:p w14:paraId="59B9EE94" w14:textId="77777777" w:rsidR="002945BD" w:rsidRDefault="002945BD" w:rsidP="00E35265">
            <w:pPr>
              <w:pStyle w:val="agenda-BODY"/>
              <w:rPr>
                <w:spacing w:val="-1"/>
              </w:rPr>
            </w:pPr>
          </w:p>
          <w:p w14:paraId="4D028672" w14:textId="77777777" w:rsidR="002945BD" w:rsidRPr="00371DE8" w:rsidRDefault="002945BD" w:rsidP="00E35265">
            <w:pPr>
              <w:pStyle w:val="agenda-BODY"/>
              <w:rPr>
                <w:spacing w:val="-1"/>
              </w:rPr>
            </w:pPr>
          </w:p>
        </w:tc>
        <w:tc>
          <w:tcPr>
            <w:tcW w:w="3982" w:type="dxa"/>
            <w:tcBorders>
              <w:top w:val="single" w:sz="6" w:space="0" w:color="0D4D9E"/>
              <w:bottom w:val="single" w:sz="6" w:space="0" w:color="0D4D9E"/>
            </w:tcBorders>
            <w:shd w:val="clear" w:color="auto" w:fill="F0EBD3"/>
          </w:tcPr>
          <w:p w14:paraId="74ECA5B8" w14:textId="77777777" w:rsidR="0026069B" w:rsidRPr="00371DE8" w:rsidRDefault="0026069B" w:rsidP="00E35265">
            <w:pPr>
              <w:pStyle w:val="agenda-BODY"/>
              <w:rPr>
                <w:spacing w:val="-2"/>
              </w:rPr>
            </w:pPr>
            <w:r w:rsidRPr="00371DE8">
              <w:rPr>
                <w:spacing w:val="-2"/>
              </w:rPr>
              <w:t xml:space="preserve">When dispensing or using generic </w:t>
            </w:r>
            <w:proofErr w:type="spellStart"/>
            <w:r w:rsidRPr="00371DE8">
              <w:rPr>
                <w:b/>
                <w:spacing w:val="-2"/>
              </w:rPr>
              <w:t>EPINEPH</w:t>
            </w:r>
            <w:r w:rsidRPr="00371DE8">
              <w:rPr>
                <w:spacing w:val="-2"/>
              </w:rPr>
              <w:t>rine</w:t>
            </w:r>
            <w:proofErr w:type="spellEnd"/>
            <w:r w:rsidRPr="00371DE8">
              <w:rPr>
                <w:spacing w:val="-2"/>
              </w:rPr>
              <w:t xml:space="preserve"> autoinjectors, educate practitioners and consumers about the lack of “Jr” designation on the 0.15 mg strength product and which strength should be used based on patient weight.</w:t>
            </w:r>
          </w:p>
        </w:tc>
        <w:tc>
          <w:tcPr>
            <w:tcW w:w="2970" w:type="dxa"/>
            <w:tcBorders>
              <w:top w:val="single" w:sz="6" w:space="0" w:color="0D4D9E"/>
              <w:bottom w:val="single" w:sz="6" w:space="0" w:color="0D4D9E"/>
            </w:tcBorders>
            <w:shd w:val="clear" w:color="auto" w:fill="FFFFFF"/>
          </w:tcPr>
          <w:p w14:paraId="359E69AC" w14:textId="77777777" w:rsidR="0026069B" w:rsidRPr="00C02132" w:rsidRDefault="0026069B" w:rsidP="00B36686">
            <w:pPr>
              <w:pStyle w:val="Acutecare-new-agenda-hed"/>
              <w:tabs>
                <w:tab w:val="clear" w:pos="5735"/>
                <w:tab w:val="clear" w:pos="7906"/>
                <w:tab w:val="clear" w:pos="10080"/>
              </w:tabs>
            </w:pPr>
          </w:p>
        </w:tc>
        <w:tc>
          <w:tcPr>
            <w:tcW w:w="2447" w:type="dxa"/>
            <w:tcBorders>
              <w:top w:val="single" w:sz="6" w:space="0" w:color="0D4D9E"/>
              <w:bottom w:val="single" w:sz="6" w:space="0" w:color="0D4D9E"/>
            </w:tcBorders>
            <w:shd w:val="clear" w:color="auto" w:fill="FFFFFF"/>
          </w:tcPr>
          <w:p w14:paraId="1948BFA2" w14:textId="77777777" w:rsidR="0026069B" w:rsidRPr="00C02132" w:rsidRDefault="0026069B" w:rsidP="00B36686">
            <w:pPr>
              <w:pStyle w:val="Acutecare-new-agenda-hed"/>
              <w:tabs>
                <w:tab w:val="clear" w:pos="5735"/>
                <w:tab w:val="clear" w:pos="7906"/>
                <w:tab w:val="clear" w:pos="10080"/>
              </w:tabs>
            </w:pPr>
          </w:p>
        </w:tc>
        <w:tc>
          <w:tcPr>
            <w:tcW w:w="942" w:type="dxa"/>
            <w:tcBorders>
              <w:top w:val="single" w:sz="6" w:space="0" w:color="0D4D9E"/>
              <w:bottom w:val="single" w:sz="6" w:space="0" w:color="0D4D9E"/>
            </w:tcBorders>
            <w:shd w:val="clear" w:color="auto" w:fill="FFFFFF"/>
          </w:tcPr>
          <w:p w14:paraId="16EC5CA8" w14:textId="77777777" w:rsidR="0026069B" w:rsidRPr="00C02132" w:rsidRDefault="0026069B" w:rsidP="00B36686">
            <w:pPr>
              <w:pStyle w:val="Acutecare-new-agenda-hed"/>
              <w:tabs>
                <w:tab w:val="clear" w:pos="5735"/>
                <w:tab w:val="clear" w:pos="7906"/>
                <w:tab w:val="clear" w:pos="10080"/>
              </w:tabs>
            </w:pPr>
          </w:p>
        </w:tc>
      </w:tr>
      <w:tr w:rsidR="0063613F" w:rsidRPr="00C02132" w14:paraId="3041DC6B" w14:textId="77777777" w:rsidTr="002945BD">
        <w:trPr>
          <w:jc w:val="center"/>
        </w:trPr>
        <w:tc>
          <w:tcPr>
            <w:tcW w:w="14988" w:type="dxa"/>
            <w:gridSpan w:val="6"/>
            <w:tcBorders>
              <w:top w:val="single" w:sz="6" w:space="0" w:color="0D4D9E"/>
              <w:bottom w:val="single" w:sz="6" w:space="0" w:color="0D4D9E"/>
            </w:tcBorders>
            <w:shd w:val="clear" w:color="auto" w:fill="BBCEEB"/>
          </w:tcPr>
          <w:p w14:paraId="3B831ED0" w14:textId="77777777" w:rsidR="0063613F" w:rsidRPr="0063493C" w:rsidRDefault="0026069B" w:rsidP="0063493C">
            <w:pPr>
              <w:pStyle w:val="Acutecare-new-agenda-hed"/>
              <w:jc w:val="center"/>
              <w:rPr>
                <w:bCs/>
              </w:rPr>
            </w:pPr>
            <w:r w:rsidRPr="00371DE8">
              <w:lastRenderedPageBreak/>
              <w:t>Similar or same names lead to confusion and wrong long-term care (LTC) resident errors</w:t>
            </w:r>
          </w:p>
        </w:tc>
      </w:tr>
      <w:tr w:rsidR="0026069B" w:rsidRPr="00C02132" w14:paraId="75A3282E" w14:textId="77777777" w:rsidTr="002945BD">
        <w:trPr>
          <w:jc w:val="center"/>
        </w:trPr>
        <w:tc>
          <w:tcPr>
            <w:tcW w:w="792" w:type="dxa"/>
            <w:tcBorders>
              <w:top w:val="single" w:sz="6" w:space="0" w:color="0D4D9E"/>
              <w:bottom w:val="single" w:sz="6" w:space="0" w:color="0D4D9E"/>
            </w:tcBorders>
            <w:shd w:val="clear" w:color="auto" w:fill="F0EBD3"/>
          </w:tcPr>
          <w:p w14:paraId="69B1B9F4" w14:textId="77777777" w:rsidR="0026069B" w:rsidRDefault="0026069B" w:rsidP="00E35265">
            <w:pPr>
              <w:pStyle w:val="agenda-BODY"/>
            </w:pPr>
            <w:r w:rsidRPr="00371DE8">
              <w:t>09/18</w:t>
            </w:r>
          </w:p>
          <w:p w14:paraId="6237B19C" w14:textId="77777777" w:rsidR="0026069B" w:rsidRPr="00371DE8" w:rsidRDefault="0026069B" w:rsidP="00E35265"/>
          <w:p w14:paraId="0DA5A410" w14:textId="77777777" w:rsidR="0026069B" w:rsidRDefault="0026069B" w:rsidP="00E35265"/>
          <w:p w14:paraId="2693ACFE" w14:textId="77777777" w:rsidR="0026069B" w:rsidRPr="00371DE8" w:rsidRDefault="0026069B" w:rsidP="00E35265">
            <w:pPr>
              <w:jc w:val="center"/>
            </w:pPr>
          </w:p>
        </w:tc>
        <w:tc>
          <w:tcPr>
            <w:tcW w:w="3855" w:type="dxa"/>
            <w:tcBorders>
              <w:top w:val="single" w:sz="6" w:space="0" w:color="0D4D9E"/>
              <w:bottom w:val="single" w:sz="6" w:space="0" w:color="0D4D9E"/>
            </w:tcBorders>
            <w:shd w:val="clear" w:color="auto" w:fill="FFF3D6"/>
          </w:tcPr>
          <w:p w14:paraId="0A604213" w14:textId="77777777" w:rsidR="0026069B" w:rsidRDefault="0026069B" w:rsidP="00E35265">
            <w:pPr>
              <w:pStyle w:val="agenda-BODY"/>
              <w:rPr>
                <w:spacing w:val="-1"/>
              </w:rPr>
            </w:pPr>
            <w:r w:rsidRPr="00371DE8">
              <w:rPr>
                <w:spacing w:val="-1"/>
              </w:rPr>
              <w:t xml:space="preserve">ISMP regularly receives reports of wrong LTC resident errors that occur when pharmacy staff enter a medication order into the wrong resident’s profile. This erroneous order entry subsequently appears on the wrong resident’s pharmacy-prepared medication administration record. Similar or the same last names of residents are at the root of many of these errors. Errors also happen when medications for a resident in one LTC facility are accidentally entered into the profile of a resident in another facility. </w:t>
            </w:r>
          </w:p>
          <w:p w14:paraId="29D3966A" w14:textId="77777777" w:rsidR="002945BD" w:rsidRDefault="002945BD" w:rsidP="00E35265">
            <w:pPr>
              <w:pStyle w:val="agenda-BODY"/>
              <w:rPr>
                <w:spacing w:val="-1"/>
              </w:rPr>
            </w:pPr>
          </w:p>
          <w:p w14:paraId="353E2D3C" w14:textId="77777777" w:rsidR="002945BD" w:rsidRDefault="002945BD" w:rsidP="00E35265">
            <w:pPr>
              <w:pStyle w:val="agenda-BODY"/>
              <w:rPr>
                <w:spacing w:val="-1"/>
              </w:rPr>
            </w:pPr>
          </w:p>
          <w:p w14:paraId="2D5A30A3" w14:textId="77777777" w:rsidR="002945BD" w:rsidRPr="00371DE8" w:rsidRDefault="002945BD" w:rsidP="00E35265">
            <w:pPr>
              <w:pStyle w:val="agenda-BODY"/>
              <w:rPr>
                <w:spacing w:val="-1"/>
              </w:rPr>
            </w:pPr>
          </w:p>
        </w:tc>
        <w:tc>
          <w:tcPr>
            <w:tcW w:w="3982" w:type="dxa"/>
            <w:tcBorders>
              <w:top w:val="single" w:sz="6" w:space="0" w:color="0D4D9E"/>
              <w:bottom w:val="single" w:sz="6" w:space="0" w:color="0D4D9E"/>
            </w:tcBorders>
            <w:shd w:val="clear" w:color="auto" w:fill="F0EBD3"/>
          </w:tcPr>
          <w:p w14:paraId="7808AEE2" w14:textId="77777777" w:rsidR="0026069B" w:rsidRPr="00371DE8" w:rsidRDefault="0026069B" w:rsidP="00E35265">
            <w:pPr>
              <w:pStyle w:val="agenda-BODY"/>
              <w:rPr>
                <w:spacing w:val="-1"/>
              </w:rPr>
            </w:pPr>
            <w:r w:rsidRPr="00371DE8">
              <w:rPr>
                <w:spacing w:val="-1"/>
              </w:rPr>
              <w:t>Clearly print the resident’s name on the order. Use at least two resident identifiers (i.e., full name and date of birth) to verify resident identity. If these identifiers are not available or illegible, pharmacy staff should contact the LTC facility to collect and verify the information. Employ alerts to warn staff about possible name confusion when residents have the same or similar last names, particularly if residing in the same LTC facility.</w:t>
            </w:r>
          </w:p>
        </w:tc>
        <w:tc>
          <w:tcPr>
            <w:tcW w:w="2970" w:type="dxa"/>
            <w:tcBorders>
              <w:top w:val="single" w:sz="6" w:space="0" w:color="0D4D9E"/>
              <w:bottom w:val="single" w:sz="6" w:space="0" w:color="0D4D9E"/>
            </w:tcBorders>
            <w:shd w:val="clear" w:color="auto" w:fill="FFFFFF"/>
          </w:tcPr>
          <w:p w14:paraId="002A13DC" w14:textId="77777777" w:rsidR="0026069B" w:rsidRPr="00C02132" w:rsidRDefault="0026069B" w:rsidP="00B36686">
            <w:pPr>
              <w:pStyle w:val="Acutecare-new-agenda-hed"/>
              <w:tabs>
                <w:tab w:val="clear" w:pos="5735"/>
                <w:tab w:val="clear" w:pos="7906"/>
                <w:tab w:val="clear" w:pos="10080"/>
              </w:tabs>
            </w:pPr>
          </w:p>
        </w:tc>
        <w:tc>
          <w:tcPr>
            <w:tcW w:w="2447" w:type="dxa"/>
            <w:tcBorders>
              <w:top w:val="single" w:sz="6" w:space="0" w:color="0D4D9E"/>
              <w:bottom w:val="single" w:sz="6" w:space="0" w:color="0D4D9E"/>
            </w:tcBorders>
            <w:shd w:val="clear" w:color="auto" w:fill="FFFFFF"/>
          </w:tcPr>
          <w:p w14:paraId="694886DB" w14:textId="77777777" w:rsidR="0026069B" w:rsidRPr="00C02132" w:rsidRDefault="0026069B" w:rsidP="00B36686">
            <w:pPr>
              <w:pStyle w:val="Acutecare-new-agenda-hed"/>
              <w:tabs>
                <w:tab w:val="clear" w:pos="5735"/>
                <w:tab w:val="clear" w:pos="7906"/>
                <w:tab w:val="clear" w:pos="10080"/>
              </w:tabs>
            </w:pPr>
          </w:p>
        </w:tc>
        <w:tc>
          <w:tcPr>
            <w:tcW w:w="942" w:type="dxa"/>
            <w:tcBorders>
              <w:top w:val="single" w:sz="6" w:space="0" w:color="0D4D9E"/>
              <w:bottom w:val="single" w:sz="6" w:space="0" w:color="0D4D9E"/>
            </w:tcBorders>
            <w:shd w:val="clear" w:color="auto" w:fill="FFFFFF"/>
          </w:tcPr>
          <w:p w14:paraId="1E6A78A6" w14:textId="77777777" w:rsidR="0026069B" w:rsidRPr="00C02132" w:rsidRDefault="0026069B" w:rsidP="00B36686">
            <w:pPr>
              <w:pStyle w:val="Acutecare-new-agenda-hed"/>
              <w:tabs>
                <w:tab w:val="clear" w:pos="5735"/>
                <w:tab w:val="clear" w:pos="7906"/>
                <w:tab w:val="clear" w:pos="10080"/>
              </w:tabs>
            </w:pPr>
          </w:p>
        </w:tc>
      </w:tr>
      <w:tr w:rsidR="00DB7740" w:rsidRPr="00C02132" w14:paraId="0F48BA4E" w14:textId="77777777" w:rsidTr="002945BD">
        <w:trPr>
          <w:jc w:val="center"/>
        </w:trPr>
        <w:tc>
          <w:tcPr>
            <w:tcW w:w="14988" w:type="dxa"/>
            <w:gridSpan w:val="6"/>
            <w:tcBorders>
              <w:top w:val="single" w:sz="6" w:space="0" w:color="0D4D9E"/>
              <w:bottom w:val="single" w:sz="6" w:space="0" w:color="0D4D9E"/>
            </w:tcBorders>
            <w:shd w:val="clear" w:color="auto" w:fill="BBCEEB"/>
          </w:tcPr>
          <w:p w14:paraId="0F496F8A" w14:textId="77777777" w:rsidR="00DB7740" w:rsidRPr="00562B2F" w:rsidRDefault="007C376D" w:rsidP="00562B2F">
            <w:pPr>
              <w:pStyle w:val="Acutecare-new-agenda-hed"/>
              <w:jc w:val="center"/>
              <w:rPr>
                <w:bCs/>
              </w:rPr>
            </w:pPr>
            <w:r w:rsidRPr="00371DE8">
              <w:t>Entire bottle of sublingual nitroglycerin was administered to a patient</w:t>
            </w:r>
          </w:p>
        </w:tc>
      </w:tr>
      <w:tr w:rsidR="007C376D" w:rsidRPr="00C02132" w14:paraId="79031C02" w14:textId="77777777" w:rsidTr="002945BD">
        <w:trPr>
          <w:jc w:val="center"/>
        </w:trPr>
        <w:tc>
          <w:tcPr>
            <w:tcW w:w="792" w:type="dxa"/>
            <w:tcBorders>
              <w:top w:val="single" w:sz="6" w:space="0" w:color="0D4D9E"/>
              <w:bottom w:val="single" w:sz="6" w:space="0" w:color="0D4D9E"/>
            </w:tcBorders>
            <w:shd w:val="clear" w:color="auto" w:fill="F0EBD3"/>
          </w:tcPr>
          <w:p w14:paraId="74200C83" w14:textId="77777777" w:rsidR="007C376D" w:rsidRPr="00371DE8" w:rsidRDefault="007C376D" w:rsidP="00E35265">
            <w:pPr>
              <w:pStyle w:val="agenda-BODY"/>
            </w:pPr>
            <w:r w:rsidRPr="00371DE8">
              <w:t>11/18</w:t>
            </w:r>
          </w:p>
        </w:tc>
        <w:tc>
          <w:tcPr>
            <w:tcW w:w="3855" w:type="dxa"/>
            <w:tcBorders>
              <w:top w:val="single" w:sz="6" w:space="0" w:color="0D4D9E"/>
              <w:bottom w:val="single" w:sz="6" w:space="0" w:color="0D4D9E"/>
            </w:tcBorders>
            <w:shd w:val="clear" w:color="auto" w:fill="FFF3D6"/>
          </w:tcPr>
          <w:p w14:paraId="0C8CF70D" w14:textId="77777777" w:rsidR="007C376D" w:rsidRDefault="007C376D" w:rsidP="00E35265">
            <w:pPr>
              <w:pStyle w:val="agenda-BODY"/>
              <w:rPr>
                <w:spacing w:val="-1"/>
              </w:rPr>
            </w:pPr>
            <w:r w:rsidRPr="00371DE8">
              <w:rPr>
                <w:spacing w:val="-1"/>
              </w:rPr>
              <w:t>An inexperienced nurse administered the entire bottle of nitroglycerin tablets to a patient. She had scanned the barcode on the bottle, which confirmed the correct medication without an alert. The new nurse was familiar with unit dose dispensing and thought the small bottle contained a single dose for the patient.</w:t>
            </w:r>
          </w:p>
          <w:p w14:paraId="16EE7223" w14:textId="77777777" w:rsidR="002945BD" w:rsidRPr="00371DE8" w:rsidRDefault="002945BD" w:rsidP="00E35265">
            <w:pPr>
              <w:pStyle w:val="agenda-BODY"/>
              <w:rPr>
                <w:spacing w:val="-1"/>
              </w:rPr>
            </w:pPr>
          </w:p>
        </w:tc>
        <w:tc>
          <w:tcPr>
            <w:tcW w:w="3982" w:type="dxa"/>
            <w:tcBorders>
              <w:top w:val="single" w:sz="6" w:space="0" w:color="0D4D9E"/>
              <w:bottom w:val="single" w:sz="6" w:space="0" w:color="0D4D9E"/>
            </w:tcBorders>
            <w:shd w:val="clear" w:color="auto" w:fill="F0EBD3"/>
          </w:tcPr>
          <w:p w14:paraId="549D55F8" w14:textId="77777777" w:rsidR="007C376D" w:rsidRDefault="007C376D" w:rsidP="00E35265">
            <w:pPr>
              <w:pStyle w:val="agenda-BODY"/>
              <w:rPr>
                <w:spacing w:val="-5"/>
              </w:rPr>
            </w:pPr>
            <w:r w:rsidRPr="00371DE8">
              <w:rPr>
                <w:spacing w:val="-5"/>
              </w:rPr>
              <w:t>Ensure the medication administration record and automated dispensing cabinet screens include instructions to administer 1 tablet sublingually (with additional doses as prescribed). Package the nitroglycerin bottle in a plastic bag or pharmacy vial and affix a label with detailed directions for use. Remind all long-term care practitioners when preparing or administering a medication that If they need more than 3 of any dosage form, call the pharmacy.</w:t>
            </w:r>
          </w:p>
          <w:p w14:paraId="32F80035" w14:textId="77777777" w:rsidR="002945BD" w:rsidRDefault="002945BD" w:rsidP="00E35265">
            <w:pPr>
              <w:pStyle w:val="agenda-BODY"/>
              <w:rPr>
                <w:spacing w:val="-5"/>
              </w:rPr>
            </w:pPr>
          </w:p>
          <w:p w14:paraId="6F2CC76B" w14:textId="77777777" w:rsidR="002945BD" w:rsidRDefault="002945BD" w:rsidP="00E35265">
            <w:pPr>
              <w:pStyle w:val="agenda-BODY"/>
              <w:rPr>
                <w:spacing w:val="-5"/>
              </w:rPr>
            </w:pPr>
          </w:p>
          <w:p w14:paraId="23EB4FBB" w14:textId="77777777" w:rsidR="002945BD" w:rsidRPr="00371DE8" w:rsidRDefault="002945BD" w:rsidP="00E35265">
            <w:pPr>
              <w:pStyle w:val="agenda-BODY"/>
              <w:rPr>
                <w:spacing w:val="-5"/>
              </w:rPr>
            </w:pPr>
          </w:p>
        </w:tc>
        <w:tc>
          <w:tcPr>
            <w:tcW w:w="2970" w:type="dxa"/>
            <w:tcBorders>
              <w:top w:val="single" w:sz="6" w:space="0" w:color="0D4D9E"/>
              <w:bottom w:val="single" w:sz="6" w:space="0" w:color="0D4D9E"/>
            </w:tcBorders>
            <w:shd w:val="clear" w:color="auto" w:fill="FFFFFF"/>
          </w:tcPr>
          <w:p w14:paraId="155E7627" w14:textId="77777777" w:rsidR="007C376D" w:rsidRPr="00C02132" w:rsidRDefault="007C376D" w:rsidP="00B36686">
            <w:pPr>
              <w:pStyle w:val="Acutecare-new-agenda-hed"/>
              <w:tabs>
                <w:tab w:val="clear" w:pos="5735"/>
                <w:tab w:val="clear" w:pos="7906"/>
                <w:tab w:val="clear" w:pos="10080"/>
              </w:tabs>
            </w:pPr>
          </w:p>
        </w:tc>
        <w:tc>
          <w:tcPr>
            <w:tcW w:w="2447" w:type="dxa"/>
            <w:tcBorders>
              <w:top w:val="single" w:sz="6" w:space="0" w:color="0D4D9E"/>
              <w:bottom w:val="single" w:sz="6" w:space="0" w:color="0D4D9E"/>
            </w:tcBorders>
            <w:shd w:val="clear" w:color="auto" w:fill="FFFFFF"/>
          </w:tcPr>
          <w:p w14:paraId="63E77901" w14:textId="77777777" w:rsidR="007C376D" w:rsidRPr="00C02132" w:rsidRDefault="007C376D" w:rsidP="00B36686">
            <w:pPr>
              <w:pStyle w:val="Acutecare-new-agenda-hed"/>
              <w:tabs>
                <w:tab w:val="clear" w:pos="5735"/>
                <w:tab w:val="clear" w:pos="7906"/>
                <w:tab w:val="clear" w:pos="10080"/>
              </w:tabs>
            </w:pPr>
          </w:p>
        </w:tc>
        <w:tc>
          <w:tcPr>
            <w:tcW w:w="942" w:type="dxa"/>
            <w:tcBorders>
              <w:top w:val="single" w:sz="6" w:space="0" w:color="0D4D9E"/>
              <w:bottom w:val="single" w:sz="6" w:space="0" w:color="0D4D9E"/>
            </w:tcBorders>
            <w:shd w:val="clear" w:color="auto" w:fill="FFFFFF"/>
          </w:tcPr>
          <w:p w14:paraId="4219F61A" w14:textId="77777777" w:rsidR="007C376D" w:rsidRPr="00C02132" w:rsidRDefault="007C376D" w:rsidP="00B36686">
            <w:pPr>
              <w:pStyle w:val="Acutecare-new-agenda-hed"/>
              <w:tabs>
                <w:tab w:val="clear" w:pos="5735"/>
                <w:tab w:val="clear" w:pos="7906"/>
                <w:tab w:val="clear" w:pos="10080"/>
              </w:tabs>
            </w:pPr>
          </w:p>
        </w:tc>
      </w:tr>
      <w:tr w:rsidR="00814822" w:rsidRPr="00C02132" w14:paraId="19AF6820" w14:textId="77777777" w:rsidTr="002945BD">
        <w:trPr>
          <w:jc w:val="center"/>
        </w:trPr>
        <w:tc>
          <w:tcPr>
            <w:tcW w:w="14988" w:type="dxa"/>
            <w:gridSpan w:val="6"/>
            <w:tcBorders>
              <w:top w:val="single" w:sz="6" w:space="0" w:color="0D4D9E"/>
              <w:bottom w:val="single" w:sz="6" w:space="0" w:color="0D4D9E"/>
            </w:tcBorders>
            <w:shd w:val="clear" w:color="auto" w:fill="BBCEEB"/>
          </w:tcPr>
          <w:p w14:paraId="07566D65" w14:textId="77777777" w:rsidR="00814822" w:rsidRPr="002228A3" w:rsidRDefault="007C376D" w:rsidP="002228A3">
            <w:pPr>
              <w:pStyle w:val="Acutecare-new-agenda-hed"/>
              <w:jc w:val="center"/>
              <w:rPr>
                <w:bCs/>
              </w:rPr>
            </w:pPr>
            <w:r w:rsidRPr="00371DE8">
              <w:t>Confusion between placebo and active pills can happen with various birth control packs</w:t>
            </w:r>
          </w:p>
        </w:tc>
      </w:tr>
      <w:tr w:rsidR="007C376D" w:rsidRPr="00C02132" w14:paraId="310AEF8B" w14:textId="77777777" w:rsidTr="002945BD">
        <w:trPr>
          <w:jc w:val="center"/>
        </w:trPr>
        <w:tc>
          <w:tcPr>
            <w:tcW w:w="792" w:type="dxa"/>
            <w:tcBorders>
              <w:top w:val="single" w:sz="6" w:space="0" w:color="0D4D9E"/>
              <w:bottom w:val="single" w:sz="6" w:space="0" w:color="0D4D9E"/>
            </w:tcBorders>
            <w:shd w:val="clear" w:color="auto" w:fill="F0EBD3"/>
          </w:tcPr>
          <w:p w14:paraId="793A6272" w14:textId="77777777" w:rsidR="007C376D" w:rsidRPr="00371DE8" w:rsidRDefault="007C376D" w:rsidP="00E35265">
            <w:pPr>
              <w:pStyle w:val="agenda-BODY"/>
            </w:pPr>
            <w:r w:rsidRPr="00371DE8">
              <w:t>10/18</w:t>
            </w:r>
          </w:p>
        </w:tc>
        <w:tc>
          <w:tcPr>
            <w:tcW w:w="3855" w:type="dxa"/>
            <w:tcBorders>
              <w:top w:val="single" w:sz="6" w:space="0" w:color="0D4D9E"/>
              <w:bottom w:val="single" w:sz="6" w:space="0" w:color="0D4D9E"/>
            </w:tcBorders>
            <w:shd w:val="clear" w:color="auto" w:fill="FFF3D6"/>
          </w:tcPr>
          <w:p w14:paraId="4FDFB2EA" w14:textId="77777777" w:rsidR="007C376D" w:rsidRDefault="007C376D" w:rsidP="00E35265">
            <w:pPr>
              <w:pStyle w:val="agenda-BODY"/>
              <w:rPr>
                <w:spacing w:val="-2"/>
              </w:rPr>
            </w:pPr>
            <w:r w:rsidRPr="00371DE8">
              <w:rPr>
                <w:spacing w:val="-2"/>
              </w:rPr>
              <w:t xml:space="preserve">There is a risk of confusion between the week 1 active tablets and the week 4 placebo tablets of </w:t>
            </w:r>
            <w:r w:rsidRPr="00371DE8">
              <w:rPr>
                <w:b/>
                <w:spacing w:val="-2"/>
              </w:rPr>
              <w:t>TRI-ESTARYLLA</w:t>
            </w:r>
            <w:r w:rsidRPr="00371DE8">
              <w:rPr>
                <w:spacing w:val="-2"/>
              </w:rPr>
              <w:t xml:space="preserve"> (</w:t>
            </w:r>
            <w:proofErr w:type="spellStart"/>
            <w:r w:rsidRPr="00371DE8">
              <w:rPr>
                <w:spacing w:val="-2"/>
              </w:rPr>
              <w:t>norgestimate</w:t>
            </w:r>
            <w:proofErr w:type="spellEnd"/>
            <w:r w:rsidRPr="00371DE8">
              <w:rPr>
                <w:spacing w:val="-2"/>
              </w:rPr>
              <w:t xml:space="preserve"> and ethinyl estradiol), </w:t>
            </w:r>
            <w:r w:rsidRPr="00371DE8">
              <w:rPr>
                <w:b/>
                <w:spacing w:val="-2"/>
              </w:rPr>
              <w:t>TRI-LINYAH,</w:t>
            </w:r>
            <w:r w:rsidRPr="00371DE8">
              <w:rPr>
                <w:spacing w:val="-2"/>
              </w:rPr>
              <w:t xml:space="preserve"> and other therapeutically equivalent products. Some products utilize different color tablets for weeks 1 and 4 compared to the others. This is of concern, especially for patients who switch products. This difference in color confused a patient. Thankfully she called the pharmacy before taking the wrong tablets at the wrong time of the month.</w:t>
            </w:r>
          </w:p>
          <w:p w14:paraId="53DF8C74" w14:textId="77777777" w:rsidR="002945BD" w:rsidRDefault="002945BD" w:rsidP="00E35265">
            <w:pPr>
              <w:pStyle w:val="agenda-BODY"/>
              <w:rPr>
                <w:spacing w:val="-2"/>
              </w:rPr>
            </w:pPr>
          </w:p>
          <w:p w14:paraId="421C28FD" w14:textId="77777777" w:rsidR="002945BD" w:rsidRDefault="002945BD" w:rsidP="00E35265">
            <w:pPr>
              <w:pStyle w:val="agenda-BODY"/>
              <w:rPr>
                <w:spacing w:val="-2"/>
              </w:rPr>
            </w:pPr>
          </w:p>
          <w:p w14:paraId="4D5D4C7F" w14:textId="77777777" w:rsidR="002945BD" w:rsidRDefault="002945BD" w:rsidP="00E35265">
            <w:pPr>
              <w:pStyle w:val="agenda-BODY"/>
              <w:rPr>
                <w:spacing w:val="-2"/>
              </w:rPr>
            </w:pPr>
          </w:p>
          <w:p w14:paraId="0F4C9522" w14:textId="77777777" w:rsidR="002945BD" w:rsidRPr="00371DE8" w:rsidRDefault="002945BD" w:rsidP="00E35265">
            <w:pPr>
              <w:pStyle w:val="agenda-BODY"/>
              <w:rPr>
                <w:spacing w:val="-2"/>
              </w:rPr>
            </w:pPr>
          </w:p>
        </w:tc>
        <w:tc>
          <w:tcPr>
            <w:tcW w:w="3982" w:type="dxa"/>
            <w:tcBorders>
              <w:top w:val="single" w:sz="6" w:space="0" w:color="0D4D9E"/>
              <w:bottom w:val="single" w:sz="6" w:space="0" w:color="0D4D9E"/>
            </w:tcBorders>
            <w:shd w:val="clear" w:color="auto" w:fill="F0EBD3"/>
          </w:tcPr>
          <w:p w14:paraId="0801E989" w14:textId="77777777" w:rsidR="007C376D" w:rsidRPr="00371DE8" w:rsidRDefault="007C376D" w:rsidP="00E35265">
            <w:pPr>
              <w:pStyle w:val="agenda-BODY"/>
              <w:rPr>
                <w:spacing w:val="-2"/>
              </w:rPr>
            </w:pPr>
            <w:r w:rsidRPr="00371DE8">
              <w:rPr>
                <w:spacing w:val="-2"/>
              </w:rPr>
              <w:t>Alert patients of the change when products are substituted. To avoid confusion, for therapeutically equivalent products, manufacturers should work with the US Food and Drug Administration (FDA) to standardize tablet colors with the original brand. Standardization can help patients use the product correctly and help them recognize if they have been dispensed a wrong drug that is not therapeutically equivalent.</w:t>
            </w:r>
          </w:p>
        </w:tc>
        <w:tc>
          <w:tcPr>
            <w:tcW w:w="2970" w:type="dxa"/>
            <w:tcBorders>
              <w:top w:val="single" w:sz="6" w:space="0" w:color="0D4D9E"/>
              <w:bottom w:val="single" w:sz="6" w:space="0" w:color="0D4D9E"/>
            </w:tcBorders>
            <w:shd w:val="clear" w:color="auto" w:fill="FFFFFF"/>
          </w:tcPr>
          <w:p w14:paraId="4C68D861" w14:textId="77777777" w:rsidR="007C376D" w:rsidRPr="00C02132" w:rsidRDefault="007C376D" w:rsidP="00B36686">
            <w:pPr>
              <w:pStyle w:val="Acutecare-new-agenda-hed"/>
              <w:tabs>
                <w:tab w:val="clear" w:pos="5735"/>
                <w:tab w:val="clear" w:pos="7906"/>
                <w:tab w:val="clear" w:pos="10080"/>
              </w:tabs>
            </w:pPr>
          </w:p>
        </w:tc>
        <w:tc>
          <w:tcPr>
            <w:tcW w:w="2447" w:type="dxa"/>
            <w:tcBorders>
              <w:top w:val="single" w:sz="6" w:space="0" w:color="0D4D9E"/>
              <w:bottom w:val="single" w:sz="6" w:space="0" w:color="0D4D9E"/>
            </w:tcBorders>
            <w:shd w:val="clear" w:color="auto" w:fill="FFFFFF"/>
          </w:tcPr>
          <w:p w14:paraId="6D41D023" w14:textId="77777777" w:rsidR="007C376D" w:rsidRPr="00C02132" w:rsidRDefault="007C376D" w:rsidP="00B36686">
            <w:pPr>
              <w:pStyle w:val="Acutecare-new-agenda-hed"/>
              <w:tabs>
                <w:tab w:val="clear" w:pos="5735"/>
                <w:tab w:val="clear" w:pos="7906"/>
                <w:tab w:val="clear" w:pos="10080"/>
              </w:tabs>
            </w:pPr>
          </w:p>
        </w:tc>
        <w:tc>
          <w:tcPr>
            <w:tcW w:w="942" w:type="dxa"/>
            <w:tcBorders>
              <w:top w:val="single" w:sz="6" w:space="0" w:color="0D4D9E"/>
              <w:bottom w:val="single" w:sz="6" w:space="0" w:color="0D4D9E"/>
            </w:tcBorders>
            <w:shd w:val="clear" w:color="auto" w:fill="FFFFFF"/>
          </w:tcPr>
          <w:p w14:paraId="10DAB2D2" w14:textId="77777777" w:rsidR="007C376D" w:rsidRPr="00C02132" w:rsidRDefault="007C376D" w:rsidP="00B36686">
            <w:pPr>
              <w:pStyle w:val="Acutecare-new-agenda-hed"/>
              <w:tabs>
                <w:tab w:val="clear" w:pos="5735"/>
                <w:tab w:val="clear" w:pos="7906"/>
                <w:tab w:val="clear" w:pos="10080"/>
              </w:tabs>
            </w:pPr>
          </w:p>
        </w:tc>
      </w:tr>
    </w:tbl>
    <w:p w14:paraId="0B946564" w14:textId="77777777" w:rsidR="00ED7DDF" w:rsidRPr="000062C2" w:rsidRDefault="00ED7DDF" w:rsidP="005D66E0">
      <w:pPr>
        <w:rPr>
          <w:sz w:val="2"/>
          <w:szCs w:val="2"/>
        </w:rPr>
      </w:pPr>
    </w:p>
    <w:sectPr w:rsidR="00ED7DDF" w:rsidRPr="000062C2" w:rsidSect="00E15A70">
      <w:headerReference w:type="default" r:id="rId10"/>
      <w:footerReference w:type="default" r:id="rId11"/>
      <w:headerReference w:type="first" r:id="rId12"/>
      <w:footerReference w:type="first" r:id="rId13"/>
      <w:pgSz w:w="15840" w:h="12240" w:orient="landscape" w:code="1"/>
      <w:pgMar w:top="1008" w:right="1008" w:bottom="576" w:left="1008" w:header="432" w:footer="0"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95DA0" w14:textId="77777777" w:rsidR="00F139DA" w:rsidRDefault="00F139DA">
      <w:r>
        <w:separator/>
      </w:r>
    </w:p>
  </w:endnote>
  <w:endnote w:type="continuationSeparator" w:id="0">
    <w:p w14:paraId="75A8C0A0" w14:textId="77777777" w:rsidR="00F139DA" w:rsidRDefault="00F13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7 Cn">
    <w:panose1 w:val="020B0506020202050204"/>
    <w:charset w:val="00"/>
    <w:family w:val="swiss"/>
    <w:notTrueType/>
    <w:pitch w:val="variable"/>
    <w:sig w:usb0="00000003" w:usb1="00000000" w:usb2="00000000" w:usb3="00000000" w:csb0="00000001" w:csb1="00000000"/>
  </w:font>
  <w:font w:name="Akzidenz Grotesk BE Cn">
    <w:panose1 w:val="00000000000000000000"/>
    <w:charset w:val="00"/>
    <w:family w:val="swiss"/>
    <w:notTrueType/>
    <w:pitch w:val="variable"/>
    <w:sig w:usb0="00000003" w:usb1="00000000" w:usb2="00000000" w:usb3="00000000" w:csb0="00000001" w:csb1="00000000"/>
  </w:font>
  <w:font w:name="Akzidenz Grotesk BE BoldEx">
    <w:panose1 w:val="00000000000000000000"/>
    <w:charset w:val="00"/>
    <w:family w:val="swiss"/>
    <w:notTrueType/>
    <w:pitch w:val="variable"/>
    <w:sig w:usb0="00000003" w:usb1="00000000" w:usb2="00000000" w:usb3="00000000" w:csb0="00000001" w:csb1="00000000"/>
  </w:font>
  <w:font w:name="Akzidenz Grotesk BE Light">
    <w:panose1 w:val="00000000000000000000"/>
    <w:charset w:val="00"/>
    <w:family w:val="swiss"/>
    <w:notTrueType/>
    <w:pitch w:val="variable"/>
    <w:sig w:usb0="00000003" w:usb1="00000000" w:usb2="00000000" w:usb3="00000000" w:csb0="00000001" w:csb1="00000000"/>
  </w:font>
  <w:font w:name="Univers LT Std 47 Cn Lt">
    <w:panose1 w:val="020B040602020204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LT Std 55">
    <w:panose1 w:val="020B0603020202020204"/>
    <w:charset w:val="00"/>
    <w:family w:val="swiss"/>
    <w:notTrueType/>
    <w:pitch w:val="variable"/>
    <w:sig w:usb0="00000003" w:usb1="00000000" w:usb2="00000000" w:usb3="00000000" w:csb0="00000001" w:csb1="00000000"/>
  </w:font>
  <w:font w:name="Univers LT Std 45 Light">
    <w:panose1 w:val="020B0403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60" w:type="dxa"/>
      <w:tblInd w:w="-252" w:type="dxa"/>
      <w:tblLook w:val="01E0" w:firstRow="1" w:lastRow="1" w:firstColumn="1" w:lastColumn="1" w:noHBand="0" w:noVBand="0"/>
    </w:tblPr>
    <w:tblGrid>
      <w:gridCol w:w="4644"/>
      <w:gridCol w:w="4392"/>
      <w:gridCol w:w="5724"/>
    </w:tblGrid>
    <w:tr w:rsidR="00571FC0" w:rsidRPr="00B8744A" w14:paraId="41560DD6" w14:textId="77777777" w:rsidTr="00B36686">
      <w:tc>
        <w:tcPr>
          <w:tcW w:w="4644" w:type="dxa"/>
          <w:shd w:val="clear" w:color="auto" w:fill="auto"/>
        </w:tcPr>
        <w:p w14:paraId="2927DD80" w14:textId="77777777" w:rsidR="00571FC0" w:rsidRPr="00B8744A" w:rsidRDefault="00F80AB2" w:rsidP="00F80AB2">
          <w:pPr>
            <w:pStyle w:val="hosp-volume-no"/>
            <w:jc w:val="left"/>
            <w:rPr>
              <w:rFonts w:ascii="Univers LT Std 57 Cn" w:hAnsi="Univers LT Std 57 Cn"/>
            </w:rPr>
          </w:pPr>
          <w:r>
            <w:rPr>
              <w:rFonts w:ascii="Univers LT Std 57 Cn" w:hAnsi="Univers LT Std 57 Cn"/>
              <w:color w:val="000000"/>
            </w:rPr>
            <w:t>January 2019</w:t>
          </w:r>
        </w:p>
      </w:tc>
      <w:tc>
        <w:tcPr>
          <w:tcW w:w="4392" w:type="dxa"/>
          <w:shd w:val="clear" w:color="auto" w:fill="auto"/>
        </w:tcPr>
        <w:p w14:paraId="79693713" w14:textId="6A0717E0" w:rsidR="00571FC0" w:rsidRPr="00B8744A" w:rsidRDefault="00571FC0" w:rsidP="00B36686">
          <w:pPr>
            <w:jc w:val="center"/>
            <w:rPr>
              <w:rFonts w:ascii="Univers LT Std 57 Cn" w:hAnsi="Univers LT Std 57 Cn"/>
            </w:rPr>
          </w:pPr>
          <w:r w:rsidRPr="001339F0">
            <w:rPr>
              <w:rFonts w:ascii="Univers LT Std 57 Cn" w:hAnsi="Univers LT Std 57 Cn"/>
              <w:i/>
              <w:position w:val="-1"/>
              <w:sz w:val="18"/>
            </w:rPr>
            <w:t>ISMP Medication</w:t>
          </w:r>
          <w:r w:rsidR="001339F0" w:rsidRPr="001339F0">
            <w:rPr>
              <w:rFonts w:ascii="Univers LT Std 57 Cn" w:hAnsi="Univers LT Std 57 Cn"/>
              <w:i/>
              <w:position w:val="-1"/>
              <w:sz w:val="18"/>
            </w:rPr>
            <w:t xml:space="preserve"> </w:t>
          </w:r>
          <w:r w:rsidRPr="001339F0">
            <w:rPr>
              <w:rFonts w:ascii="Univers LT Std 57 Cn" w:hAnsi="Univers LT Std 57 Cn"/>
              <w:i/>
              <w:position w:val="-1"/>
              <w:sz w:val="18"/>
            </w:rPr>
            <w:t>Safety</w:t>
          </w:r>
          <w:r w:rsidR="001339F0" w:rsidRPr="001339F0">
            <w:rPr>
              <w:rFonts w:ascii="Univers LT Std 57 Cn" w:hAnsi="Univers LT Std 57 Cn"/>
              <w:b/>
              <w:i/>
              <w:position w:val="-1"/>
              <w:sz w:val="18"/>
            </w:rPr>
            <w:t xml:space="preserve"> </w:t>
          </w:r>
          <w:r w:rsidRPr="001339F0">
            <w:rPr>
              <w:rFonts w:ascii="Univers LT Std 57 Cn" w:hAnsi="Univers LT Std 57 Cn"/>
              <w:i/>
              <w:position w:val="-1"/>
              <w:sz w:val="18"/>
            </w:rPr>
            <w:t>Alert!</w:t>
          </w:r>
          <w:r w:rsidRPr="00B8744A">
            <w:rPr>
              <w:rFonts w:ascii="Univers LT Std 57 Cn" w:hAnsi="Univers LT Std 57 Cn"/>
            </w:rPr>
            <w:cr/>
          </w:r>
          <w:r w:rsidRPr="00B8744A">
            <w:rPr>
              <w:rFonts w:ascii="Univers LT Std 57 Cn" w:hAnsi="Univers LT Std 57 Cn"/>
              <w:position w:val="-1"/>
              <w:sz w:val="18"/>
            </w:rPr>
            <w:t>Community/Ambulatory Care Edition</w:t>
          </w:r>
        </w:p>
        <w:p w14:paraId="5472C59B" w14:textId="77777777" w:rsidR="00571FC0" w:rsidRPr="00B8744A" w:rsidRDefault="00571FC0" w:rsidP="00B36686">
          <w:pPr>
            <w:pStyle w:val="hosp-volume-no"/>
            <w:jc w:val="right"/>
            <w:rPr>
              <w:rFonts w:ascii="Univers LT Std 57 Cn" w:hAnsi="Univers LT Std 57 Cn"/>
            </w:rPr>
          </w:pPr>
        </w:p>
      </w:tc>
      <w:tc>
        <w:tcPr>
          <w:tcW w:w="5724" w:type="dxa"/>
          <w:shd w:val="clear" w:color="auto" w:fill="auto"/>
        </w:tcPr>
        <w:p w14:paraId="5213AA8B" w14:textId="77777777" w:rsidR="00571FC0" w:rsidRPr="00B8744A" w:rsidRDefault="00B8744A" w:rsidP="00B36686">
          <w:pPr>
            <w:pStyle w:val="hosp-volume-no"/>
            <w:jc w:val="right"/>
            <w:rPr>
              <w:rStyle w:val="PageNumber"/>
              <w:rFonts w:ascii="Univers LT Std 57 Cn" w:hAnsi="Univers LT Std 57 Cn"/>
              <w:color w:val="000000"/>
              <w:szCs w:val="24"/>
            </w:rPr>
          </w:pPr>
          <w:r>
            <w:rPr>
              <w:rFonts w:ascii="Univers LT Std 57 Cn" w:hAnsi="Univers LT Std 57 Cn"/>
            </w:rPr>
            <w:t>AA</w:t>
          </w:r>
          <w:r w:rsidR="00571FC0" w:rsidRPr="00B8744A">
            <w:rPr>
              <w:rFonts w:ascii="Univers LT Std 57 Cn" w:hAnsi="Univers LT Std 57 Cn"/>
            </w:rPr>
            <w:t xml:space="preserve"> </w:t>
          </w:r>
          <w:r w:rsidR="00571FC0" w:rsidRPr="00B8744A">
            <w:rPr>
              <w:rStyle w:val="PageNumber"/>
              <w:rFonts w:ascii="Univers LT Std 57 Cn" w:hAnsi="Univers LT Std 57 Cn"/>
              <w:color w:val="000000"/>
              <w:szCs w:val="24"/>
            </w:rPr>
            <w:fldChar w:fldCharType="begin"/>
          </w:r>
          <w:r w:rsidR="00571FC0" w:rsidRPr="00B8744A">
            <w:rPr>
              <w:rStyle w:val="PageNumber"/>
              <w:rFonts w:ascii="Univers LT Std 57 Cn" w:hAnsi="Univers LT Std 57 Cn"/>
              <w:color w:val="000000"/>
              <w:szCs w:val="24"/>
            </w:rPr>
            <w:instrText xml:space="preserve"> PAGE </w:instrText>
          </w:r>
          <w:r w:rsidR="00571FC0" w:rsidRPr="00B8744A">
            <w:rPr>
              <w:rStyle w:val="PageNumber"/>
              <w:rFonts w:ascii="Univers LT Std 57 Cn" w:hAnsi="Univers LT Std 57 Cn"/>
              <w:color w:val="000000"/>
              <w:szCs w:val="24"/>
            </w:rPr>
            <w:fldChar w:fldCharType="separate"/>
          </w:r>
          <w:r w:rsidR="002945BD">
            <w:rPr>
              <w:rStyle w:val="PageNumber"/>
              <w:rFonts w:ascii="Univers LT Std 57 Cn" w:hAnsi="Univers LT Std 57 Cn"/>
              <w:noProof/>
              <w:color w:val="000000"/>
              <w:szCs w:val="24"/>
            </w:rPr>
            <w:t>3</w:t>
          </w:r>
          <w:r w:rsidR="00571FC0" w:rsidRPr="00B8744A">
            <w:rPr>
              <w:rStyle w:val="PageNumber"/>
              <w:rFonts w:ascii="Univers LT Std 57 Cn" w:hAnsi="Univers LT Std 57 Cn"/>
              <w:color w:val="000000"/>
              <w:szCs w:val="24"/>
            </w:rPr>
            <w:fldChar w:fldCharType="end"/>
          </w:r>
        </w:p>
        <w:p w14:paraId="57826B2A" w14:textId="77777777" w:rsidR="00571FC0" w:rsidRPr="00B8744A" w:rsidRDefault="00571FC0" w:rsidP="00B36686">
          <w:pPr>
            <w:pStyle w:val="hosp-volume-no"/>
            <w:jc w:val="right"/>
            <w:rPr>
              <w:rFonts w:ascii="Univers LT Std 57 Cn" w:hAnsi="Univers LT Std 57 Cn"/>
            </w:rPr>
          </w:pPr>
        </w:p>
      </w:tc>
    </w:tr>
  </w:tbl>
  <w:p w14:paraId="1D5DB3F2" w14:textId="77777777" w:rsidR="00571FC0" w:rsidRPr="00B8744A" w:rsidRDefault="00571FC0" w:rsidP="00037545">
    <w:pPr>
      <w:pStyle w:val="Footer"/>
      <w:rPr>
        <w:rFonts w:ascii="Univers LT Std 57 Cn" w:hAnsi="Univers LT Std 57 Cn"/>
      </w:rPr>
    </w:pPr>
  </w:p>
  <w:p w14:paraId="2ECCFF4A" w14:textId="77777777" w:rsidR="00571FC0" w:rsidRDefault="00571F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80A88" w14:textId="77777777" w:rsidR="00571FC0" w:rsidRPr="00343F6F" w:rsidRDefault="00571FC0" w:rsidP="00DF38FA">
    <w:pPr>
      <w:pStyle w:val="Footer"/>
      <w:ind w:right="-180"/>
      <w:rPr>
        <w:rFonts w:ascii="Univers LT Std 57 Cn" w:hAnsi="Univers LT Std 57 Cn"/>
      </w:rPr>
    </w:pPr>
  </w:p>
  <w:tbl>
    <w:tblPr>
      <w:tblW w:w="14760" w:type="dxa"/>
      <w:tblInd w:w="-252" w:type="dxa"/>
      <w:tblLook w:val="01E0" w:firstRow="1" w:lastRow="1" w:firstColumn="1" w:lastColumn="1" w:noHBand="0" w:noVBand="0"/>
    </w:tblPr>
    <w:tblGrid>
      <w:gridCol w:w="4644"/>
      <w:gridCol w:w="4392"/>
      <w:gridCol w:w="5724"/>
    </w:tblGrid>
    <w:tr w:rsidR="00571FC0" w:rsidRPr="00343F6F" w14:paraId="0B6F7DFD" w14:textId="77777777" w:rsidTr="00B36686">
      <w:tc>
        <w:tcPr>
          <w:tcW w:w="4644" w:type="dxa"/>
          <w:shd w:val="clear" w:color="auto" w:fill="auto"/>
        </w:tcPr>
        <w:p w14:paraId="6B7901CF" w14:textId="2CFEC97D" w:rsidR="00571FC0" w:rsidRPr="00343F6F" w:rsidRDefault="001339F0" w:rsidP="005C307A">
          <w:pPr>
            <w:pStyle w:val="hosp-volume-no"/>
            <w:jc w:val="left"/>
            <w:rPr>
              <w:rFonts w:ascii="Univers LT Std 57 Cn" w:hAnsi="Univers LT Std 57 Cn"/>
            </w:rPr>
          </w:pPr>
          <w:r>
            <w:rPr>
              <w:rFonts w:ascii="Univers LT Std 57 Cn" w:hAnsi="Univers LT Std 57 Cn"/>
              <w:color w:val="000000"/>
            </w:rPr>
            <w:t>January</w:t>
          </w:r>
          <w:r w:rsidR="005C307A" w:rsidRPr="00343F6F">
            <w:rPr>
              <w:rFonts w:ascii="Univers LT Std 57 Cn" w:hAnsi="Univers LT Std 57 Cn"/>
              <w:color w:val="000000"/>
            </w:rPr>
            <w:t xml:space="preserve"> 201</w:t>
          </w:r>
          <w:r>
            <w:rPr>
              <w:rFonts w:ascii="Univers LT Std 57 Cn" w:hAnsi="Univers LT Std 57 Cn"/>
              <w:color w:val="000000"/>
            </w:rPr>
            <w:t>9</w:t>
          </w:r>
        </w:p>
      </w:tc>
      <w:tc>
        <w:tcPr>
          <w:tcW w:w="4392" w:type="dxa"/>
          <w:shd w:val="clear" w:color="auto" w:fill="auto"/>
        </w:tcPr>
        <w:p w14:paraId="1C474C86" w14:textId="730DA4DB" w:rsidR="00571FC0" w:rsidRPr="00343F6F" w:rsidRDefault="00571FC0" w:rsidP="00B36686">
          <w:pPr>
            <w:jc w:val="center"/>
            <w:rPr>
              <w:rFonts w:ascii="Univers LT Std 57 Cn" w:hAnsi="Univers LT Std 57 Cn"/>
            </w:rPr>
          </w:pPr>
          <w:r w:rsidRPr="000107F3">
            <w:rPr>
              <w:rFonts w:ascii="Univers LT Std 57 Cn" w:hAnsi="Univers LT Std 57 Cn"/>
              <w:i/>
              <w:position w:val="-1"/>
              <w:sz w:val="18"/>
            </w:rPr>
            <w:t>ISMP Medication</w:t>
          </w:r>
          <w:r w:rsidR="000107F3" w:rsidRPr="000107F3">
            <w:rPr>
              <w:rFonts w:ascii="Univers LT Std 57 Cn" w:hAnsi="Univers LT Std 57 Cn"/>
              <w:i/>
              <w:position w:val="-1"/>
              <w:sz w:val="18"/>
            </w:rPr>
            <w:t xml:space="preserve"> </w:t>
          </w:r>
          <w:r w:rsidRPr="00CA11E3">
            <w:rPr>
              <w:rFonts w:ascii="Univers LT Std 57 Cn" w:hAnsi="Univers LT Std 57 Cn"/>
              <w:i/>
              <w:position w:val="-1"/>
              <w:sz w:val="18"/>
            </w:rPr>
            <w:t>Safety</w:t>
          </w:r>
          <w:r w:rsidR="000107F3" w:rsidRPr="000107F3">
            <w:rPr>
              <w:rFonts w:ascii="Univers LT Std 57 Cn" w:hAnsi="Univers LT Std 57 Cn"/>
              <w:b/>
              <w:i/>
              <w:position w:val="-1"/>
              <w:sz w:val="18"/>
            </w:rPr>
            <w:t xml:space="preserve"> </w:t>
          </w:r>
          <w:r w:rsidRPr="000107F3">
            <w:rPr>
              <w:rFonts w:ascii="Univers LT Std 57 Cn" w:hAnsi="Univers LT Std 57 Cn"/>
              <w:i/>
              <w:position w:val="-1"/>
              <w:sz w:val="18"/>
            </w:rPr>
            <w:t>Alert!</w:t>
          </w:r>
          <w:r w:rsidRPr="00343F6F">
            <w:rPr>
              <w:rFonts w:ascii="Univers LT Std 57 Cn" w:hAnsi="Univers LT Std 57 Cn"/>
            </w:rPr>
            <w:cr/>
          </w:r>
          <w:r w:rsidRPr="00343F6F">
            <w:rPr>
              <w:rFonts w:ascii="Univers LT Std 57 Cn" w:hAnsi="Univers LT Std 57 Cn"/>
              <w:position w:val="-1"/>
              <w:sz w:val="18"/>
            </w:rPr>
            <w:t>Community/Ambulatory Care Edition</w:t>
          </w:r>
        </w:p>
        <w:p w14:paraId="764F80ED" w14:textId="77777777" w:rsidR="00571FC0" w:rsidRPr="00343F6F" w:rsidRDefault="00571FC0" w:rsidP="00B36686">
          <w:pPr>
            <w:pStyle w:val="hosp-volume-no"/>
            <w:jc w:val="right"/>
            <w:rPr>
              <w:rFonts w:ascii="Univers LT Std 57 Cn" w:hAnsi="Univers LT Std 57 Cn"/>
            </w:rPr>
          </w:pPr>
        </w:p>
      </w:tc>
      <w:tc>
        <w:tcPr>
          <w:tcW w:w="5724" w:type="dxa"/>
          <w:shd w:val="clear" w:color="auto" w:fill="auto"/>
        </w:tcPr>
        <w:p w14:paraId="6311F28A" w14:textId="77777777" w:rsidR="00571FC0" w:rsidRPr="00343F6F" w:rsidRDefault="00DB1EB8" w:rsidP="00B36686">
          <w:pPr>
            <w:pStyle w:val="hosp-volume-no"/>
            <w:jc w:val="right"/>
            <w:rPr>
              <w:rStyle w:val="PageNumber"/>
              <w:rFonts w:ascii="Univers LT Std 57 Cn" w:hAnsi="Univers LT Std 57 Cn"/>
              <w:color w:val="000000"/>
              <w:szCs w:val="24"/>
            </w:rPr>
          </w:pPr>
          <w:r>
            <w:rPr>
              <w:rFonts w:ascii="Univers LT Std 57 Cn" w:hAnsi="Univers LT Std 57 Cn"/>
            </w:rPr>
            <w:t>AA</w:t>
          </w:r>
          <w:r w:rsidR="00571FC0" w:rsidRPr="00343F6F">
            <w:rPr>
              <w:rFonts w:ascii="Univers LT Std 57 Cn" w:hAnsi="Univers LT Std 57 Cn"/>
            </w:rPr>
            <w:t xml:space="preserve"> </w:t>
          </w:r>
          <w:r w:rsidR="00571FC0" w:rsidRPr="00343F6F">
            <w:rPr>
              <w:rStyle w:val="PageNumber"/>
              <w:rFonts w:ascii="Univers LT Std 57 Cn" w:hAnsi="Univers LT Std 57 Cn"/>
              <w:color w:val="000000"/>
              <w:szCs w:val="24"/>
            </w:rPr>
            <w:fldChar w:fldCharType="begin"/>
          </w:r>
          <w:r w:rsidR="00571FC0" w:rsidRPr="00343F6F">
            <w:rPr>
              <w:rStyle w:val="PageNumber"/>
              <w:rFonts w:ascii="Univers LT Std 57 Cn" w:hAnsi="Univers LT Std 57 Cn"/>
              <w:color w:val="000000"/>
              <w:szCs w:val="24"/>
            </w:rPr>
            <w:instrText xml:space="preserve"> PAGE </w:instrText>
          </w:r>
          <w:r w:rsidR="00571FC0" w:rsidRPr="00343F6F">
            <w:rPr>
              <w:rStyle w:val="PageNumber"/>
              <w:rFonts w:ascii="Univers LT Std 57 Cn" w:hAnsi="Univers LT Std 57 Cn"/>
              <w:color w:val="000000"/>
              <w:szCs w:val="24"/>
            </w:rPr>
            <w:fldChar w:fldCharType="separate"/>
          </w:r>
          <w:r w:rsidR="002945BD">
            <w:rPr>
              <w:rStyle w:val="PageNumber"/>
              <w:rFonts w:ascii="Univers LT Std 57 Cn" w:hAnsi="Univers LT Std 57 Cn"/>
              <w:noProof/>
              <w:color w:val="000000"/>
              <w:szCs w:val="24"/>
            </w:rPr>
            <w:t>1</w:t>
          </w:r>
          <w:r w:rsidR="00571FC0" w:rsidRPr="00343F6F">
            <w:rPr>
              <w:rStyle w:val="PageNumber"/>
              <w:rFonts w:ascii="Univers LT Std 57 Cn" w:hAnsi="Univers LT Std 57 Cn"/>
              <w:color w:val="000000"/>
              <w:szCs w:val="24"/>
            </w:rPr>
            <w:fldChar w:fldCharType="end"/>
          </w:r>
        </w:p>
        <w:p w14:paraId="42928E72" w14:textId="77777777" w:rsidR="00571FC0" w:rsidRPr="00343F6F" w:rsidRDefault="00571FC0" w:rsidP="00B36686">
          <w:pPr>
            <w:pStyle w:val="hosp-volume-no"/>
            <w:jc w:val="right"/>
            <w:rPr>
              <w:rFonts w:ascii="Univers LT Std 57 Cn" w:hAnsi="Univers LT Std 57 Cn"/>
            </w:rPr>
          </w:pPr>
        </w:p>
      </w:tc>
    </w:tr>
  </w:tbl>
  <w:p w14:paraId="4F410CD4" w14:textId="77777777" w:rsidR="00571FC0" w:rsidRPr="00343F6F" w:rsidRDefault="00571FC0">
    <w:pPr>
      <w:pStyle w:val="Footer"/>
      <w:rPr>
        <w:rFonts w:ascii="Univers LT Std 57 Cn" w:hAnsi="Univers LT Std 57 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89528" w14:textId="77777777" w:rsidR="00F139DA" w:rsidRDefault="00F139DA">
      <w:r>
        <w:separator/>
      </w:r>
    </w:p>
  </w:footnote>
  <w:footnote w:type="continuationSeparator" w:id="0">
    <w:p w14:paraId="5133A21C" w14:textId="77777777" w:rsidR="00F139DA" w:rsidRDefault="00F13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D25B8" w14:textId="1F420C5B" w:rsidR="0096597F" w:rsidRPr="00FB349E" w:rsidRDefault="0096597F" w:rsidP="0096597F">
    <w:pPr>
      <w:jc w:val="center"/>
      <w:rPr>
        <w:rFonts w:ascii="Univers LT Std 55" w:hAnsi="Univers LT Std 55"/>
        <w:color w:val="999999"/>
        <w:sz w:val="18"/>
      </w:rPr>
    </w:pPr>
    <w:r>
      <w:rPr>
        <w:rFonts w:ascii="Univers LT Std 55" w:hAnsi="Univers LT Std 55"/>
        <w:color w:val="999999"/>
        <w:sz w:val="18"/>
      </w:rPr>
      <w:t>September – December 201</w:t>
    </w:r>
    <w:r w:rsidR="00E1274C">
      <w:rPr>
        <w:rFonts w:ascii="Univers LT Std 55" w:hAnsi="Univers LT Std 55"/>
        <w:color w:val="999999"/>
        <w:sz w:val="18"/>
      </w:rPr>
      <w:t>8</w:t>
    </w:r>
  </w:p>
  <w:p w14:paraId="013CC170" w14:textId="77777777" w:rsidR="00571FC0" w:rsidRPr="00A62136" w:rsidRDefault="00571FC0" w:rsidP="002D0D7C">
    <w:pPr>
      <w:ind w:right="-180"/>
      <w:jc w:val="center"/>
      <w:rPr>
        <w:rFonts w:ascii="Univers LT Std 55" w:hAnsi="Univers LT Std 55"/>
        <w:color w:val="0D4D9E"/>
        <w:sz w:val="12"/>
      </w:rPr>
    </w:pPr>
    <w:r w:rsidRPr="00A62136">
      <w:rPr>
        <w:rFonts w:ascii="Univers LT Std 55" w:hAnsi="Univers LT Std 55"/>
        <w:i/>
        <w:color w:val="0D4D9E"/>
        <w:position w:val="-2"/>
        <w:sz w:val="18"/>
      </w:rPr>
      <w:t>ISMP</w:t>
    </w:r>
    <w:r w:rsidRPr="00A62136">
      <w:rPr>
        <w:rFonts w:ascii="Univers LT Std 55" w:hAnsi="Univers LT Std 55"/>
        <w:color w:val="0D4D9E"/>
        <w:position w:val="-3"/>
        <w:sz w:val="32"/>
      </w:rPr>
      <w:t xml:space="preserve"> </w:t>
    </w:r>
    <w:proofErr w:type="spellStart"/>
    <w:r w:rsidR="00C3115B">
      <w:rPr>
        <w:rFonts w:ascii="Univers LT Std 55" w:hAnsi="Univers LT Std 55"/>
        <w:b/>
        <w:color w:val="0D4D9E"/>
        <w:position w:val="-3"/>
        <w:sz w:val="32"/>
      </w:rPr>
      <w:t>Action</w:t>
    </w:r>
    <w:r w:rsidRPr="00A62136">
      <w:rPr>
        <w:rFonts w:ascii="Univers LT Std 55" w:hAnsi="Univers LT Std 55"/>
        <w:color w:val="0D4D9E"/>
        <w:position w:val="-3"/>
        <w:sz w:val="32"/>
      </w:rPr>
      <w:t>Agenda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11414" w14:textId="07992733" w:rsidR="00571FC0" w:rsidRPr="00FB349E" w:rsidRDefault="0096597F" w:rsidP="00D66374">
    <w:pPr>
      <w:jc w:val="center"/>
      <w:rPr>
        <w:rFonts w:ascii="Univers LT Std 55" w:hAnsi="Univers LT Std 55"/>
        <w:color w:val="999999"/>
        <w:sz w:val="18"/>
      </w:rPr>
    </w:pPr>
    <w:r>
      <w:rPr>
        <w:rFonts w:ascii="Univers LT Std 55" w:hAnsi="Univers LT Std 55"/>
        <w:color w:val="999999"/>
        <w:sz w:val="18"/>
      </w:rPr>
      <w:t>September – December 201</w:t>
    </w:r>
    <w:r w:rsidR="00E62614">
      <w:rPr>
        <w:rFonts w:ascii="Univers LT Std 55" w:hAnsi="Univers LT Std 55"/>
        <w:color w:val="999999"/>
        <w:sz w:val="18"/>
      </w:rPr>
      <w:t>8</w:t>
    </w:r>
  </w:p>
  <w:p w14:paraId="6AEC15FC" w14:textId="05035816" w:rsidR="00571FC0" w:rsidRPr="008455F2" w:rsidRDefault="00273C8B" w:rsidP="00273C8B">
    <w:pPr>
      <w:jc w:val="center"/>
      <w:textAlignment w:val="baseline"/>
      <w:rPr>
        <w:color w:val="0D4D9E"/>
      </w:rPr>
    </w:pPr>
    <w:r w:rsidRPr="00273C8B">
      <w:rPr>
        <w:rFonts w:ascii="Univers LT Std 55" w:eastAsia="Univers LT Std 55" w:hAnsi="Univers LT Std 55" w:cs="Univers LT Std 55"/>
        <w:b/>
        <w:i/>
        <w:color w:val="141F86"/>
        <w:spacing w:val="-12"/>
        <w:w w:val="97"/>
        <w:position w:val="-2"/>
        <w:sz w:val="34"/>
        <w:lang w:bidi="en-US"/>
      </w:rPr>
      <w:t>ISMP</w:t>
    </w:r>
    <w:r w:rsidR="00C3115B">
      <w:rPr>
        <w:rFonts w:ascii="Univers LT Std 55" w:eastAsia="Univers LT Std 55" w:hAnsi="Univers LT Std 55" w:cs="Univers LT Std 55"/>
        <w:b/>
        <w:i/>
        <w:color w:val="141F86"/>
        <w:spacing w:val="-12"/>
        <w:w w:val="97"/>
        <w:position w:val="-2"/>
        <w:sz w:val="34"/>
        <w:lang w:bidi="en-US"/>
      </w:rPr>
      <w:t xml:space="preserve"> </w:t>
    </w:r>
    <w:r w:rsidR="00C3115B" w:rsidRPr="00C3115B">
      <w:rPr>
        <w:rFonts w:ascii="Univers LT Std 55" w:eastAsia="Univers LT Std 55" w:hAnsi="Univers LT Std 55" w:cs="Univers LT Std 55"/>
        <w:i/>
        <w:color w:val="141F86"/>
        <w:spacing w:val="-12"/>
        <w:w w:val="97"/>
        <w:position w:val="-2"/>
        <w:sz w:val="34"/>
        <w:lang w:bidi="en-US"/>
      </w:rPr>
      <w:t xml:space="preserve">Medication Safety </w:t>
    </w:r>
    <w:proofErr w:type="gramStart"/>
    <w:r w:rsidR="00C3115B" w:rsidRPr="00C3115B">
      <w:rPr>
        <w:rFonts w:ascii="Univers LT Std 55" w:eastAsia="Univers LT Std 55" w:hAnsi="Univers LT Std 55" w:cs="Univers LT Std 55"/>
        <w:i/>
        <w:color w:val="141F86"/>
        <w:spacing w:val="-12"/>
        <w:w w:val="97"/>
        <w:position w:val="-2"/>
        <w:sz w:val="34"/>
        <w:lang w:bidi="en-US"/>
      </w:rPr>
      <w:t>Alert!</w:t>
    </w:r>
    <w:r w:rsidR="00980C99" w:rsidRPr="000107F3">
      <w:rPr>
        <w:rFonts w:ascii="Univers LT Std 45 Light" w:eastAsia="Univers LT Std 45 Light" w:hAnsi="Univers LT Std 45 Light" w:cs="Univers LT Std 45 Light"/>
        <w:color w:val="141F86"/>
        <w:spacing w:val="-18"/>
        <w:w w:val="97"/>
        <w:position w:val="-3"/>
        <w:sz w:val="28"/>
        <w:szCs w:val="28"/>
        <w:vertAlign w:val="superscript"/>
        <w:lang w:bidi="en-US"/>
      </w:rPr>
      <w:t>®</w:t>
    </w:r>
    <w:proofErr w:type="gramEnd"/>
    <w:r w:rsidR="000107F3">
      <w:rPr>
        <w:rFonts w:ascii="Univers LT Std 45 Light" w:eastAsia="Univers LT Std 45 Light" w:hAnsi="Univers LT Std 45 Light" w:cs="Univers LT Std 45 Light"/>
        <w:color w:val="141F86"/>
        <w:spacing w:val="-18"/>
        <w:w w:val="97"/>
        <w:position w:val="-3"/>
        <w:sz w:val="32"/>
        <w:szCs w:val="32"/>
        <w:vertAlign w:val="superscript"/>
        <w:lang w:bidi="en-US"/>
      </w:rPr>
      <w:t xml:space="preserve"> </w:t>
    </w:r>
    <w:proofErr w:type="spellStart"/>
    <w:r w:rsidRPr="00273C8B">
      <w:rPr>
        <w:rFonts w:ascii="Univers LT Std 55" w:eastAsia="Univers LT Std 55" w:hAnsi="Univers LT Std 55" w:cs="Univers LT Std 55"/>
        <w:b/>
        <w:color w:val="141F86"/>
        <w:spacing w:val="-18"/>
        <w:w w:val="97"/>
        <w:position w:val="-3"/>
        <w:sz w:val="54"/>
        <w:lang w:bidi="en-US"/>
      </w:rPr>
      <w:t>Action</w:t>
    </w:r>
    <w:r w:rsidRPr="00273C8B">
      <w:rPr>
        <w:rFonts w:ascii="Univers LT Std 55" w:eastAsia="Univers LT Std 55" w:hAnsi="Univers LT Std 55" w:cs="Univers LT Std 55"/>
        <w:color w:val="141F86"/>
        <w:spacing w:val="-18"/>
        <w:w w:val="97"/>
        <w:position w:val="-3"/>
        <w:sz w:val="54"/>
        <w:lang w:bidi="en-US"/>
      </w:rPr>
      <w:t>Agenda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gutterAtTop/>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noPunctuationKerning/>
  <w:characterSpacingControl w:val="doNotCompress"/>
  <w:hdrShapeDefaults>
    <o:shapedefaults v:ext="edit" spidmax="4097">
      <o:colormru v:ext="edit" colors="white,#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36C3"/>
    <w:rsid w:val="0000263F"/>
    <w:rsid w:val="00005D76"/>
    <w:rsid w:val="000062C2"/>
    <w:rsid w:val="00007686"/>
    <w:rsid w:val="000107F3"/>
    <w:rsid w:val="000136D2"/>
    <w:rsid w:val="0001627D"/>
    <w:rsid w:val="00022EF4"/>
    <w:rsid w:val="00023304"/>
    <w:rsid w:val="000261E7"/>
    <w:rsid w:val="00037545"/>
    <w:rsid w:val="00041291"/>
    <w:rsid w:val="0004277F"/>
    <w:rsid w:val="0004763F"/>
    <w:rsid w:val="00064888"/>
    <w:rsid w:val="00065E21"/>
    <w:rsid w:val="00086CE1"/>
    <w:rsid w:val="00090643"/>
    <w:rsid w:val="00097AED"/>
    <w:rsid w:val="000B2CE1"/>
    <w:rsid w:val="000C1DBB"/>
    <w:rsid w:val="000C417B"/>
    <w:rsid w:val="000D05BF"/>
    <w:rsid w:val="000E36E6"/>
    <w:rsid w:val="000E5ECC"/>
    <w:rsid w:val="00100C1D"/>
    <w:rsid w:val="00103423"/>
    <w:rsid w:val="00107B68"/>
    <w:rsid w:val="00111477"/>
    <w:rsid w:val="0011186D"/>
    <w:rsid w:val="001121F0"/>
    <w:rsid w:val="001122D4"/>
    <w:rsid w:val="0012462A"/>
    <w:rsid w:val="001339F0"/>
    <w:rsid w:val="00136F07"/>
    <w:rsid w:val="00137B58"/>
    <w:rsid w:val="001451F0"/>
    <w:rsid w:val="001512BF"/>
    <w:rsid w:val="00157C53"/>
    <w:rsid w:val="00161303"/>
    <w:rsid w:val="001655FA"/>
    <w:rsid w:val="00171CDF"/>
    <w:rsid w:val="001737E2"/>
    <w:rsid w:val="001759C0"/>
    <w:rsid w:val="001770AC"/>
    <w:rsid w:val="00183329"/>
    <w:rsid w:val="001A4415"/>
    <w:rsid w:val="001B30D8"/>
    <w:rsid w:val="001B4218"/>
    <w:rsid w:val="001C76EB"/>
    <w:rsid w:val="001D00E3"/>
    <w:rsid w:val="001D2E86"/>
    <w:rsid w:val="001E05A5"/>
    <w:rsid w:val="001E09D5"/>
    <w:rsid w:val="001F166C"/>
    <w:rsid w:val="001F4C4B"/>
    <w:rsid w:val="00200157"/>
    <w:rsid w:val="002228A3"/>
    <w:rsid w:val="002261C9"/>
    <w:rsid w:val="0023241D"/>
    <w:rsid w:val="00235ABC"/>
    <w:rsid w:val="002527D2"/>
    <w:rsid w:val="0026069B"/>
    <w:rsid w:val="00273C8B"/>
    <w:rsid w:val="00276E72"/>
    <w:rsid w:val="00282888"/>
    <w:rsid w:val="00292167"/>
    <w:rsid w:val="00293636"/>
    <w:rsid w:val="002945BD"/>
    <w:rsid w:val="002A432E"/>
    <w:rsid w:val="002B2DA7"/>
    <w:rsid w:val="002B79E7"/>
    <w:rsid w:val="002C0BAF"/>
    <w:rsid w:val="002C57B7"/>
    <w:rsid w:val="002C7C0B"/>
    <w:rsid w:val="002D0AC8"/>
    <w:rsid w:val="002D0D7C"/>
    <w:rsid w:val="002D4152"/>
    <w:rsid w:val="002E16D6"/>
    <w:rsid w:val="002F1BAB"/>
    <w:rsid w:val="0030067D"/>
    <w:rsid w:val="00311B3C"/>
    <w:rsid w:val="00317141"/>
    <w:rsid w:val="00317B44"/>
    <w:rsid w:val="00320B7E"/>
    <w:rsid w:val="00330C42"/>
    <w:rsid w:val="00331306"/>
    <w:rsid w:val="00343F6F"/>
    <w:rsid w:val="003517AB"/>
    <w:rsid w:val="00352199"/>
    <w:rsid w:val="00352C0F"/>
    <w:rsid w:val="00363D17"/>
    <w:rsid w:val="0038144F"/>
    <w:rsid w:val="00382FBB"/>
    <w:rsid w:val="00391E76"/>
    <w:rsid w:val="003920B6"/>
    <w:rsid w:val="003957A8"/>
    <w:rsid w:val="00397550"/>
    <w:rsid w:val="003A2BB2"/>
    <w:rsid w:val="003B69A5"/>
    <w:rsid w:val="003C0364"/>
    <w:rsid w:val="003C0D38"/>
    <w:rsid w:val="003E7BFC"/>
    <w:rsid w:val="003F04B4"/>
    <w:rsid w:val="00405850"/>
    <w:rsid w:val="00407D1A"/>
    <w:rsid w:val="00422005"/>
    <w:rsid w:val="00446E8F"/>
    <w:rsid w:val="00450B0C"/>
    <w:rsid w:val="0046245C"/>
    <w:rsid w:val="00473B6D"/>
    <w:rsid w:val="00481D01"/>
    <w:rsid w:val="00482777"/>
    <w:rsid w:val="004917B7"/>
    <w:rsid w:val="0049572E"/>
    <w:rsid w:val="004A716E"/>
    <w:rsid w:val="004B0130"/>
    <w:rsid w:val="004B2623"/>
    <w:rsid w:val="004B29BE"/>
    <w:rsid w:val="004B309D"/>
    <w:rsid w:val="004C4A63"/>
    <w:rsid w:val="004C79A5"/>
    <w:rsid w:val="004F0D06"/>
    <w:rsid w:val="00502537"/>
    <w:rsid w:val="00503C5E"/>
    <w:rsid w:val="005069E3"/>
    <w:rsid w:val="00510080"/>
    <w:rsid w:val="005168EB"/>
    <w:rsid w:val="005226C7"/>
    <w:rsid w:val="00533376"/>
    <w:rsid w:val="00540581"/>
    <w:rsid w:val="00541A8C"/>
    <w:rsid w:val="00556D1F"/>
    <w:rsid w:val="00562B2F"/>
    <w:rsid w:val="00565948"/>
    <w:rsid w:val="00571FC0"/>
    <w:rsid w:val="005755AB"/>
    <w:rsid w:val="005979DB"/>
    <w:rsid w:val="005B24A2"/>
    <w:rsid w:val="005B2CAD"/>
    <w:rsid w:val="005C016C"/>
    <w:rsid w:val="005C0DB2"/>
    <w:rsid w:val="005C307A"/>
    <w:rsid w:val="005D26FA"/>
    <w:rsid w:val="005D2A75"/>
    <w:rsid w:val="005D66E0"/>
    <w:rsid w:val="005E5138"/>
    <w:rsid w:val="005E51CD"/>
    <w:rsid w:val="005E73C8"/>
    <w:rsid w:val="005E790A"/>
    <w:rsid w:val="006314AA"/>
    <w:rsid w:val="00632432"/>
    <w:rsid w:val="0063493C"/>
    <w:rsid w:val="0063613F"/>
    <w:rsid w:val="0066080D"/>
    <w:rsid w:val="006630A4"/>
    <w:rsid w:val="00675C4D"/>
    <w:rsid w:val="006836C3"/>
    <w:rsid w:val="00684847"/>
    <w:rsid w:val="00684D1E"/>
    <w:rsid w:val="00685901"/>
    <w:rsid w:val="006872A9"/>
    <w:rsid w:val="006B0563"/>
    <w:rsid w:val="006B4006"/>
    <w:rsid w:val="006C0394"/>
    <w:rsid w:val="006C1155"/>
    <w:rsid w:val="006D1340"/>
    <w:rsid w:val="006D671A"/>
    <w:rsid w:val="006E656E"/>
    <w:rsid w:val="006F0B2B"/>
    <w:rsid w:val="006F6697"/>
    <w:rsid w:val="007172C0"/>
    <w:rsid w:val="00720867"/>
    <w:rsid w:val="0072480E"/>
    <w:rsid w:val="007266B9"/>
    <w:rsid w:val="00736820"/>
    <w:rsid w:val="00757D59"/>
    <w:rsid w:val="007622A8"/>
    <w:rsid w:val="00763821"/>
    <w:rsid w:val="007760F8"/>
    <w:rsid w:val="0078775E"/>
    <w:rsid w:val="00787925"/>
    <w:rsid w:val="0079079C"/>
    <w:rsid w:val="007A3331"/>
    <w:rsid w:val="007B3E30"/>
    <w:rsid w:val="007C357E"/>
    <w:rsid w:val="007C376D"/>
    <w:rsid w:val="007C5952"/>
    <w:rsid w:val="007D70CF"/>
    <w:rsid w:val="007E4305"/>
    <w:rsid w:val="007F2CD5"/>
    <w:rsid w:val="007F3754"/>
    <w:rsid w:val="007F6FE5"/>
    <w:rsid w:val="007F7AE7"/>
    <w:rsid w:val="00807D01"/>
    <w:rsid w:val="00814822"/>
    <w:rsid w:val="00815A02"/>
    <w:rsid w:val="008219D3"/>
    <w:rsid w:val="0082558E"/>
    <w:rsid w:val="008279B2"/>
    <w:rsid w:val="00837D17"/>
    <w:rsid w:val="00843A64"/>
    <w:rsid w:val="008455F2"/>
    <w:rsid w:val="00853864"/>
    <w:rsid w:val="008746DC"/>
    <w:rsid w:val="0089012D"/>
    <w:rsid w:val="00892D86"/>
    <w:rsid w:val="00893CF3"/>
    <w:rsid w:val="00894342"/>
    <w:rsid w:val="008A237E"/>
    <w:rsid w:val="008B0494"/>
    <w:rsid w:val="008B248A"/>
    <w:rsid w:val="008C06DD"/>
    <w:rsid w:val="008C4BCC"/>
    <w:rsid w:val="008C4CFB"/>
    <w:rsid w:val="008D39F5"/>
    <w:rsid w:val="008D7CCF"/>
    <w:rsid w:val="008E38BF"/>
    <w:rsid w:val="008E77D1"/>
    <w:rsid w:val="00907D54"/>
    <w:rsid w:val="00916416"/>
    <w:rsid w:val="00930886"/>
    <w:rsid w:val="009459E4"/>
    <w:rsid w:val="00954EA6"/>
    <w:rsid w:val="0096106F"/>
    <w:rsid w:val="0096597F"/>
    <w:rsid w:val="00966C3E"/>
    <w:rsid w:val="00966EB6"/>
    <w:rsid w:val="00971EF2"/>
    <w:rsid w:val="00975D5C"/>
    <w:rsid w:val="00980C99"/>
    <w:rsid w:val="00982209"/>
    <w:rsid w:val="009A327D"/>
    <w:rsid w:val="009A59FA"/>
    <w:rsid w:val="009A76D2"/>
    <w:rsid w:val="009F5965"/>
    <w:rsid w:val="00A02ECF"/>
    <w:rsid w:val="00A0309D"/>
    <w:rsid w:val="00A107FA"/>
    <w:rsid w:val="00A17AFE"/>
    <w:rsid w:val="00A201A5"/>
    <w:rsid w:val="00A30BF2"/>
    <w:rsid w:val="00A32D65"/>
    <w:rsid w:val="00A41E36"/>
    <w:rsid w:val="00A53FFE"/>
    <w:rsid w:val="00A5481A"/>
    <w:rsid w:val="00A61736"/>
    <w:rsid w:val="00A62136"/>
    <w:rsid w:val="00A6494A"/>
    <w:rsid w:val="00A65BFF"/>
    <w:rsid w:val="00A66F76"/>
    <w:rsid w:val="00A6798F"/>
    <w:rsid w:val="00A741DB"/>
    <w:rsid w:val="00A81AFD"/>
    <w:rsid w:val="00A91A1D"/>
    <w:rsid w:val="00A94372"/>
    <w:rsid w:val="00AA7508"/>
    <w:rsid w:val="00AB6586"/>
    <w:rsid w:val="00AC0268"/>
    <w:rsid w:val="00AC5EC7"/>
    <w:rsid w:val="00AD200C"/>
    <w:rsid w:val="00AE0770"/>
    <w:rsid w:val="00AE4ABA"/>
    <w:rsid w:val="00AF03A8"/>
    <w:rsid w:val="00AF2107"/>
    <w:rsid w:val="00AF213F"/>
    <w:rsid w:val="00AF29B5"/>
    <w:rsid w:val="00B0339A"/>
    <w:rsid w:val="00B201FC"/>
    <w:rsid w:val="00B2750A"/>
    <w:rsid w:val="00B36686"/>
    <w:rsid w:val="00B66999"/>
    <w:rsid w:val="00B722C2"/>
    <w:rsid w:val="00B7742B"/>
    <w:rsid w:val="00B81EEF"/>
    <w:rsid w:val="00B8744A"/>
    <w:rsid w:val="00B91D3F"/>
    <w:rsid w:val="00B967D6"/>
    <w:rsid w:val="00BA0902"/>
    <w:rsid w:val="00BA6BF3"/>
    <w:rsid w:val="00BB0667"/>
    <w:rsid w:val="00BB6696"/>
    <w:rsid w:val="00BD05AF"/>
    <w:rsid w:val="00BD110C"/>
    <w:rsid w:val="00BD3999"/>
    <w:rsid w:val="00BE2252"/>
    <w:rsid w:val="00BF6076"/>
    <w:rsid w:val="00C01E22"/>
    <w:rsid w:val="00C02132"/>
    <w:rsid w:val="00C1299F"/>
    <w:rsid w:val="00C15944"/>
    <w:rsid w:val="00C301D5"/>
    <w:rsid w:val="00C3115B"/>
    <w:rsid w:val="00C43829"/>
    <w:rsid w:val="00C44915"/>
    <w:rsid w:val="00C54D89"/>
    <w:rsid w:val="00C56E2D"/>
    <w:rsid w:val="00C67F47"/>
    <w:rsid w:val="00C71391"/>
    <w:rsid w:val="00C80DC7"/>
    <w:rsid w:val="00C84627"/>
    <w:rsid w:val="00CA11E3"/>
    <w:rsid w:val="00CB7905"/>
    <w:rsid w:val="00CC1137"/>
    <w:rsid w:val="00CC276A"/>
    <w:rsid w:val="00CC7533"/>
    <w:rsid w:val="00CD3AE8"/>
    <w:rsid w:val="00CE6043"/>
    <w:rsid w:val="00CF6895"/>
    <w:rsid w:val="00D0668D"/>
    <w:rsid w:val="00D3033B"/>
    <w:rsid w:val="00D36378"/>
    <w:rsid w:val="00D5110F"/>
    <w:rsid w:val="00D6578C"/>
    <w:rsid w:val="00D66374"/>
    <w:rsid w:val="00D763EF"/>
    <w:rsid w:val="00D84E5E"/>
    <w:rsid w:val="00D96759"/>
    <w:rsid w:val="00D969B6"/>
    <w:rsid w:val="00DA4619"/>
    <w:rsid w:val="00DB0CB7"/>
    <w:rsid w:val="00DB0EA0"/>
    <w:rsid w:val="00DB1EB8"/>
    <w:rsid w:val="00DB2E0D"/>
    <w:rsid w:val="00DB7740"/>
    <w:rsid w:val="00DC20B4"/>
    <w:rsid w:val="00DE62D1"/>
    <w:rsid w:val="00DE76F4"/>
    <w:rsid w:val="00DE77D2"/>
    <w:rsid w:val="00DF38FA"/>
    <w:rsid w:val="00DF45D1"/>
    <w:rsid w:val="00E1274C"/>
    <w:rsid w:val="00E138BE"/>
    <w:rsid w:val="00E15A70"/>
    <w:rsid w:val="00E2071C"/>
    <w:rsid w:val="00E20F27"/>
    <w:rsid w:val="00E325CF"/>
    <w:rsid w:val="00E4096B"/>
    <w:rsid w:val="00E50A5E"/>
    <w:rsid w:val="00E512B3"/>
    <w:rsid w:val="00E62435"/>
    <w:rsid w:val="00E62614"/>
    <w:rsid w:val="00E810F8"/>
    <w:rsid w:val="00E872FA"/>
    <w:rsid w:val="00E91CB5"/>
    <w:rsid w:val="00EA4612"/>
    <w:rsid w:val="00EA5888"/>
    <w:rsid w:val="00EC0343"/>
    <w:rsid w:val="00ED7DDF"/>
    <w:rsid w:val="00F003F7"/>
    <w:rsid w:val="00F026EA"/>
    <w:rsid w:val="00F139DA"/>
    <w:rsid w:val="00F25E6B"/>
    <w:rsid w:val="00F37A22"/>
    <w:rsid w:val="00F41A79"/>
    <w:rsid w:val="00F435C0"/>
    <w:rsid w:val="00F52484"/>
    <w:rsid w:val="00F53E84"/>
    <w:rsid w:val="00F56B2D"/>
    <w:rsid w:val="00F63EBC"/>
    <w:rsid w:val="00F73AF8"/>
    <w:rsid w:val="00F80AB2"/>
    <w:rsid w:val="00F8736B"/>
    <w:rsid w:val="00F87C0A"/>
    <w:rsid w:val="00F901ED"/>
    <w:rsid w:val="00F940BA"/>
    <w:rsid w:val="00F95EC3"/>
    <w:rsid w:val="00FA3D62"/>
    <w:rsid w:val="00FB2CD6"/>
    <w:rsid w:val="00FB349E"/>
    <w:rsid w:val="00FC3995"/>
    <w:rsid w:val="00FE2E2C"/>
    <w:rsid w:val="00FE4EBE"/>
    <w:rsid w:val="00FF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white,#ffc"/>
    </o:shapedefaults>
    <o:shapelayout v:ext="edit">
      <o:idmap v:ext="edit" data="1"/>
    </o:shapelayout>
  </w:shapeDefaults>
  <w:decimalSymbol w:val="."/>
  <w:listSeparator w:val=","/>
  <w14:docId w14:val="7DE4B441"/>
  <w15:docId w15:val="{D48180CC-C611-4307-8654-D593D3EE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067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ED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097AED"/>
    <w:rPr>
      <w:i/>
      <w:iCs/>
    </w:rPr>
  </w:style>
  <w:style w:type="paragraph" w:customStyle="1" w:styleId="AC-table-hed">
    <w:name w:val="AC-table-hed"/>
    <w:locked/>
    <w:rsid w:val="001B30D8"/>
    <w:pPr>
      <w:tabs>
        <w:tab w:val="center" w:pos="5735"/>
        <w:tab w:val="center" w:pos="7906"/>
        <w:tab w:val="center" w:pos="10080"/>
      </w:tabs>
      <w:spacing w:line="200" w:lineRule="exact"/>
    </w:pPr>
    <w:rPr>
      <w:rFonts w:ascii="Univers LT Std 57 Cn" w:hAnsi="Univers LT Std 57 Cn"/>
    </w:rPr>
  </w:style>
  <w:style w:type="paragraph" w:customStyle="1" w:styleId="AC-table-body">
    <w:name w:val="AC-table-body"/>
    <w:rsid w:val="00763821"/>
    <w:pPr>
      <w:tabs>
        <w:tab w:val="center" w:pos="5735"/>
        <w:tab w:val="center" w:pos="7906"/>
        <w:tab w:val="center" w:pos="10080"/>
      </w:tabs>
      <w:spacing w:line="240" w:lineRule="exact"/>
    </w:pPr>
    <w:rPr>
      <w:rFonts w:ascii="Akzidenz Grotesk BE Cn" w:hAnsi="Akzidenz Grotesk BE Cn"/>
    </w:rPr>
  </w:style>
  <w:style w:type="character" w:customStyle="1" w:styleId="Acutecare-new-agenda-he">
    <w:name w:val="Acutecare-new-agenda-he"/>
    <w:locked/>
    <w:rsid w:val="00763821"/>
    <w:rPr>
      <w:rFonts w:ascii="Akzidenz Grotesk BE BoldEx" w:hAnsi="Akzidenz Grotesk BE BoldEx"/>
      <w:sz w:val="19"/>
    </w:rPr>
  </w:style>
  <w:style w:type="paragraph" w:customStyle="1" w:styleId="Acutecare-new-agenda-hed">
    <w:name w:val="Acutecare-new-agenda-hed"/>
    <w:qFormat/>
    <w:locked/>
    <w:rsid w:val="001B30D8"/>
    <w:pPr>
      <w:tabs>
        <w:tab w:val="center" w:pos="5735"/>
        <w:tab w:val="center" w:pos="7906"/>
        <w:tab w:val="center" w:pos="10080"/>
      </w:tabs>
    </w:pPr>
    <w:rPr>
      <w:rFonts w:ascii="Univers LT Std 57 Cn" w:hAnsi="Univers LT Std 57 Cn"/>
      <w:b/>
      <w:sz w:val="19"/>
    </w:rPr>
  </w:style>
  <w:style w:type="paragraph" w:customStyle="1" w:styleId="StyleAC-table-hed85ptWhiteCentered">
    <w:name w:val="Style AC-table-hed + 8.5 pt White Centered"/>
    <w:basedOn w:val="AC-table-hed"/>
    <w:locked/>
    <w:rsid w:val="00DF45D1"/>
    <w:pPr>
      <w:spacing w:before="20"/>
      <w:jc w:val="center"/>
    </w:pPr>
    <w:rPr>
      <w:color w:val="FFFFFF"/>
      <w:sz w:val="17"/>
    </w:rPr>
  </w:style>
  <w:style w:type="paragraph" w:styleId="Header">
    <w:name w:val="header"/>
    <w:basedOn w:val="Normal"/>
    <w:locked/>
    <w:rsid w:val="008D7CCF"/>
    <w:pPr>
      <w:tabs>
        <w:tab w:val="center" w:pos="4320"/>
        <w:tab w:val="right" w:pos="8640"/>
      </w:tabs>
    </w:pPr>
  </w:style>
  <w:style w:type="paragraph" w:styleId="Footer">
    <w:name w:val="footer"/>
    <w:basedOn w:val="Normal"/>
    <w:locked/>
    <w:rsid w:val="008D7CCF"/>
    <w:pPr>
      <w:tabs>
        <w:tab w:val="center" w:pos="4320"/>
        <w:tab w:val="right" w:pos="8640"/>
      </w:tabs>
    </w:pPr>
  </w:style>
  <w:style w:type="paragraph" w:customStyle="1" w:styleId="hosp-volume-no">
    <w:name w:val="hosp-volume-no."/>
    <w:locked/>
    <w:rsid w:val="008D7CCF"/>
    <w:pPr>
      <w:jc w:val="both"/>
    </w:pPr>
    <w:rPr>
      <w:rFonts w:ascii="Akzidenz Grotesk BE Light" w:hAnsi="Akzidenz Grotesk BE Light"/>
      <w:sz w:val="16"/>
    </w:rPr>
  </w:style>
  <w:style w:type="character" w:styleId="PageNumber">
    <w:name w:val="page number"/>
    <w:basedOn w:val="DefaultParagraphFont"/>
    <w:locked/>
    <w:rsid w:val="008D7CCF"/>
  </w:style>
  <w:style w:type="character" w:customStyle="1" w:styleId="Normal1">
    <w:name w:val="Normal1"/>
    <w:locked/>
    <w:rsid w:val="00B201FC"/>
    <w:rPr>
      <w:rFonts w:ascii="Arial" w:hAnsi="Arial"/>
      <w:sz w:val="24"/>
    </w:rPr>
  </w:style>
  <w:style w:type="character" w:customStyle="1" w:styleId="safety-B-url">
    <w:name w:val="safety-B-url"/>
    <w:locked/>
    <w:rsid w:val="00C43829"/>
    <w:rPr>
      <w:rFonts w:ascii="Akzidenz Grotesk BE Cn" w:hAnsi="Akzidenz Grotesk BE Cn"/>
      <w:color w:val="0C419A"/>
      <w:spacing w:val="0"/>
      <w:sz w:val="20"/>
      <w:u w:val="single"/>
    </w:rPr>
  </w:style>
  <w:style w:type="character" w:styleId="Hyperlink">
    <w:name w:val="Hyperlink"/>
    <w:locked/>
    <w:rsid w:val="00A5481A"/>
    <w:rPr>
      <w:color w:val="0000FF"/>
      <w:u w:val="single"/>
    </w:rPr>
  </w:style>
  <w:style w:type="paragraph" w:customStyle="1" w:styleId="Style1">
    <w:name w:val="Style1"/>
    <w:basedOn w:val="Acutecare-new-agenda-hed"/>
    <w:rsid w:val="00B81EEF"/>
    <w:pPr>
      <w:jc w:val="center"/>
    </w:pPr>
    <w:rPr>
      <w:sz w:val="18"/>
    </w:rPr>
  </w:style>
  <w:style w:type="paragraph" w:customStyle="1" w:styleId="StyleAcutecare-new-agenda-hedCentered">
    <w:name w:val="Style Acutecare-new-agenda-hed + Centered"/>
    <w:basedOn w:val="Acutecare-new-agenda-hed"/>
    <w:rsid w:val="00CC7533"/>
    <w:pPr>
      <w:jc w:val="center"/>
    </w:pPr>
    <w:rPr>
      <w:sz w:val="18"/>
    </w:rPr>
  </w:style>
  <w:style w:type="paragraph" w:customStyle="1" w:styleId="agenda-BODY">
    <w:name w:val="agenda-BODY"/>
    <w:qFormat/>
    <w:rsid w:val="0030067D"/>
    <w:pPr>
      <w:jc w:val="both"/>
    </w:pPr>
    <w:rPr>
      <w:rFonts w:ascii="Univers LT Std 47 Cn Lt" w:hAnsi="Univers LT Std 47 Cn Lt"/>
      <w:sz w:val="19"/>
    </w:rPr>
  </w:style>
  <w:style w:type="paragraph" w:styleId="BalloonText">
    <w:name w:val="Balloon Text"/>
    <w:basedOn w:val="Normal"/>
    <w:link w:val="BalloonTextChar"/>
    <w:locked/>
    <w:rsid w:val="00352199"/>
    <w:rPr>
      <w:rFonts w:ascii="Tahoma" w:hAnsi="Tahoma" w:cs="Tahoma"/>
      <w:sz w:val="16"/>
      <w:szCs w:val="16"/>
    </w:rPr>
  </w:style>
  <w:style w:type="character" w:customStyle="1" w:styleId="BalloonTextChar">
    <w:name w:val="Balloon Text Char"/>
    <w:basedOn w:val="DefaultParagraphFont"/>
    <w:link w:val="BalloonText"/>
    <w:rsid w:val="003521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63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ISMP\ISMP-nl\ismp-community-NL\templates-lib-community\action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CEE01-E896-4763-BCE0-A3F1830F2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actionAgenda.dotx</Template>
  <TotalTime>8</TotalTime>
  <Pages>3</Pages>
  <Words>1290</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ISMP Medication Safety Alert</vt:lpstr>
    </vt:vector>
  </TitlesOfParts>
  <Company>ISMP</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ISMP Medication Safety Alert</dc:title>
  <dc:creator>bob</dc:creator>
  <cp:lastModifiedBy>Michael Gaunt</cp:lastModifiedBy>
  <cp:revision>7</cp:revision>
  <cp:lastPrinted>2006-07-27T04:12:00Z</cp:lastPrinted>
  <dcterms:created xsi:type="dcterms:W3CDTF">2019-01-31T04:09:00Z</dcterms:created>
  <dcterms:modified xsi:type="dcterms:W3CDTF">2019-01-31T04:16:00Z</dcterms:modified>
</cp:coreProperties>
</file>