
<file path=[Content_Types].xml><?xml version="1.0" encoding="utf-8"?>
<Types xmlns="http://schemas.openxmlformats.org/package/2006/content-types">
  <Default Extension="emf" ContentType="image/x-emf"/>
  <Default Extension="wmf" ContentType="image/x-wmf"/>
  <Default Extension="rels" ContentType="application/vnd.openxmlformats-package.relationships+xml"/>
  <Default Extension="xml" ContentType="application/xml"/>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MON_1231183012"/>
    <w:bookmarkStart w:id="1" w:name="_MON_1231184836"/>
    <w:bookmarkStart w:id="2" w:name="_MON_1231184913"/>
    <w:bookmarkStart w:id="3" w:name="_MON_1231523733"/>
    <w:bookmarkStart w:id="4" w:name="_MON_1231523845"/>
    <w:bookmarkStart w:id="5" w:name="_MON_1231523852"/>
    <w:bookmarkStart w:id="6" w:name="_MON_1305047124"/>
    <w:bookmarkStart w:id="7" w:name="_MON_1400005751"/>
    <w:bookmarkStart w:id="8" w:name="_MON_1410287886"/>
    <w:bookmarkStart w:id="9" w:name="_MON_1410287903"/>
    <w:bookmarkStart w:id="10" w:name="_MON_1410287914"/>
    <w:bookmarkStart w:id="11" w:name="_MON_1410287919"/>
    <w:bookmarkStart w:id="12" w:name="_MON_1410287926"/>
    <w:bookmarkStart w:id="13" w:name="_MON_1410287999"/>
    <w:bookmarkStart w:id="14" w:name="_MON_1231182667"/>
    <w:bookmarkStart w:id="15" w:name="_MON_1231182695"/>
    <w:bookmarkStart w:id="16" w:name="_MON_1231182702"/>
    <w:bookmarkStart w:id="17" w:name="_MON_1231182722"/>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Start w:id="18" w:name="_MON_1231182944"/>
    <w:bookmarkEnd w:id="18"/>
    <w:p w14:paraId="2CD43C87" w14:textId="77777777" w:rsidR="00A5481A" w:rsidRDefault="000062C2" w:rsidP="00E325CF">
      <w:pPr>
        <w:ind w:left="-360" w:right="-180"/>
      </w:pPr>
      <w:r w:rsidRPr="00757D59">
        <w:rPr>
          <w:sz w:val="18"/>
        </w:rPr>
        <w:object w:dxaOrig="14700" w:dyaOrig="1728" w14:anchorId="2E5652F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35pt;height:86.25pt" o:ole="">
            <v:imagedata r:id="rId7" o:title=""/>
          </v:shape>
          <o:OLEObject Type="Embed" ProgID="Word.Document.8" ShapeID="_x0000_i1025" DrawAspect="Content" ObjectID="_1599634594" r:id="rId8">
            <o:FieldCodes>\s</o:FieldCodes>
          </o:OLEObject>
        </w:object>
      </w:r>
    </w:p>
    <w:tbl>
      <w:tblPr>
        <w:tblW w:w="14925" w:type="dxa"/>
        <w:jc w:val="center"/>
        <w:tblBorders>
          <w:top w:val="single" w:sz="4" w:space="0" w:color="0D4D9E"/>
          <w:left w:val="single" w:sz="4" w:space="0" w:color="0D4D9E"/>
          <w:bottom w:val="single" w:sz="4" w:space="0" w:color="0D4D9E"/>
          <w:right w:val="single" w:sz="4" w:space="0" w:color="0D4D9E"/>
          <w:insideH w:val="single" w:sz="6" w:space="0" w:color="0D4D9E"/>
          <w:insideV w:val="single" w:sz="6" w:space="0" w:color="0D4D9E"/>
        </w:tblBorders>
        <w:tblLayout w:type="fixed"/>
        <w:tblLook w:val="01E0" w:firstRow="1" w:lastRow="1" w:firstColumn="1" w:lastColumn="1" w:noHBand="0" w:noVBand="0"/>
      </w:tblPr>
      <w:tblGrid>
        <w:gridCol w:w="787"/>
        <w:gridCol w:w="3577"/>
        <w:gridCol w:w="3862"/>
        <w:gridCol w:w="2862"/>
        <w:gridCol w:w="2862"/>
        <w:gridCol w:w="975"/>
      </w:tblGrid>
      <w:tr w:rsidR="00BB0667" w:rsidRPr="00C02132" w14:paraId="3CE6A6F7" w14:textId="77777777" w:rsidTr="005F5E78">
        <w:trPr>
          <w:tblHeader/>
          <w:jc w:val="center"/>
        </w:trPr>
        <w:tc>
          <w:tcPr>
            <w:tcW w:w="792" w:type="dxa"/>
            <w:tcBorders>
              <w:top w:val="single" w:sz="4" w:space="0" w:color="0D4D9E"/>
              <w:bottom w:val="single" w:sz="6" w:space="0" w:color="0D4D9E"/>
            </w:tcBorders>
            <w:shd w:val="clear" w:color="auto" w:fill="5D72B5"/>
          </w:tcPr>
          <w:p w14:paraId="6522E513" w14:textId="77777777" w:rsidR="00BB0667" w:rsidRPr="00C3115B" w:rsidRDefault="00407D1A" w:rsidP="00C3115B">
            <w:pPr>
              <w:pStyle w:val="Acutecare-new-agenda-hed"/>
              <w:jc w:val="center"/>
              <w:rPr>
                <w:color w:val="FFFFFF" w:themeColor="background1"/>
              </w:rPr>
            </w:pPr>
            <w:r w:rsidRPr="00C3115B">
              <w:rPr>
                <w:color w:val="FFFFFF" w:themeColor="background1"/>
              </w:rPr>
              <w:t>Issue</w:t>
            </w:r>
          </w:p>
        </w:tc>
        <w:tc>
          <w:tcPr>
            <w:tcW w:w="3600" w:type="dxa"/>
            <w:tcBorders>
              <w:top w:val="single" w:sz="4" w:space="0" w:color="0D4D9E"/>
              <w:bottom w:val="single" w:sz="6" w:space="0" w:color="0D4D9E"/>
              <w:right w:val="single" w:sz="4" w:space="0" w:color="0D4D9E"/>
            </w:tcBorders>
            <w:shd w:val="clear" w:color="auto" w:fill="0D4D9E"/>
          </w:tcPr>
          <w:p w14:paraId="06BB0889" w14:textId="77777777" w:rsidR="00BB0667" w:rsidRPr="00407D1A" w:rsidRDefault="00BB0667" w:rsidP="00C3115B">
            <w:pPr>
              <w:pStyle w:val="Acutecare-new-agenda-hed"/>
              <w:jc w:val="center"/>
              <w:rPr>
                <w:color w:val="FFFFFF"/>
                <w:sz w:val="16"/>
                <w:szCs w:val="16"/>
              </w:rPr>
            </w:pPr>
            <w:r w:rsidRPr="00407D1A">
              <w:rPr>
                <w:color w:val="FFFFFF"/>
                <w:sz w:val="16"/>
                <w:szCs w:val="16"/>
              </w:rPr>
              <w:t>Problem</w:t>
            </w:r>
          </w:p>
        </w:tc>
        <w:tc>
          <w:tcPr>
            <w:tcW w:w="3888" w:type="dxa"/>
            <w:tcBorders>
              <w:top w:val="single" w:sz="4" w:space="0" w:color="0D4D9E"/>
              <w:left w:val="single" w:sz="4" w:space="0" w:color="0D4D9E"/>
              <w:bottom w:val="single" w:sz="6" w:space="0" w:color="0D4D9E"/>
            </w:tcBorders>
            <w:shd w:val="clear" w:color="auto" w:fill="5D72B5"/>
          </w:tcPr>
          <w:p w14:paraId="50432232" w14:textId="77777777" w:rsidR="00BB0667" w:rsidRPr="00407D1A" w:rsidRDefault="00BB0667" w:rsidP="00C3115B">
            <w:pPr>
              <w:pStyle w:val="Acutecare-new-agenda-hed"/>
              <w:jc w:val="center"/>
              <w:rPr>
                <w:color w:val="FFFFFF"/>
                <w:sz w:val="16"/>
                <w:szCs w:val="16"/>
              </w:rPr>
            </w:pPr>
            <w:r w:rsidRPr="00407D1A">
              <w:rPr>
                <w:color w:val="FFFFFF"/>
                <w:sz w:val="16"/>
                <w:szCs w:val="16"/>
              </w:rPr>
              <w:t>Recommendation</w:t>
            </w:r>
          </w:p>
        </w:tc>
        <w:tc>
          <w:tcPr>
            <w:tcW w:w="2880" w:type="dxa"/>
            <w:tcBorders>
              <w:top w:val="single" w:sz="4" w:space="0" w:color="0D4D9E"/>
              <w:bottom w:val="single" w:sz="6" w:space="0" w:color="0D4D9E"/>
            </w:tcBorders>
            <w:shd w:val="clear" w:color="auto" w:fill="0D4D9E"/>
          </w:tcPr>
          <w:p w14:paraId="3A83BB5F" w14:textId="77777777" w:rsidR="00BB0667" w:rsidRPr="00407D1A" w:rsidRDefault="00BB0667" w:rsidP="00C3115B">
            <w:pPr>
              <w:pStyle w:val="Acutecare-new-agenda-hed"/>
              <w:jc w:val="center"/>
              <w:rPr>
                <w:color w:val="FFFFFF"/>
                <w:sz w:val="16"/>
                <w:szCs w:val="16"/>
              </w:rPr>
            </w:pPr>
            <w:r w:rsidRPr="00407D1A">
              <w:rPr>
                <w:color w:val="FFFFFF"/>
                <w:sz w:val="16"/>
                <w:szCs w:val="16"/>
              </w:rPr>
              <w:t xml:space="preserve">Organization </w:t>
            </w:r>
            <w:r w:rsidRPr="00837D17">
              <w:rPr>
                <w:color w:val="FFFFFF"/>
                <w:sz w:val="16"/>
                <w:szCs w:val="16"/>
              </w:rPr>
              <w:t>Assessment</w:t>
            </w:r>
          </w:p>
        </w:tc>
        <w:tc>
          <w:tcPr>
            <w:tcW w:w="2880" w:type="dxa"/>
            <w:tcBorders>
              <w:top w:val="single" w:sz="4" w:space="0" w:color="0D4D9E"/>
              <w:bottom w:val="single" w:sz="6" w:space="0" w:color="0D4D9E"/>
            </w:tcBorders>
            <w:shd w:val="clear" w:color="auto" w:fill="5D72B5"/>
          </w:tcPr>
          <w:p w14:paraId="6AB7F1DE" w14:textId="77777777" w:rsidR="00BB0667" w:rsidRPr="00407D1A" w:rsidRDefault="00BB0667" w:rsidP="00C3115B">
            <w:pPr>
              <w:pStyle w:val="Acutecare-new-agenda-hed"/>
              <w:jc w:val="center"/>
              <w:rPr>
                <w:color w:val="FFFFFF"/>
                <w:sz w:val="16"/>
                <w:szCs w:val="16"/>
              </w:rPr>
            </w:pPr>
            <w:r w:rsidRPr="00407D1A">
              <w:rPr>
                <w:color w:val="FFFFFF"/>
                <w:sz w:val="16"/>
                <w:szCs w:val="16"/>
              </w:rPr>
              <w:t>Action Required/</w:t>
            </w:r>
            <w:r w:rsidR="008219D3" w:rsidRPr="00407D1A">
              <w:rPr>
                <w:color w:val="FFFFFF"/>
                <w:sz w:val="16"/>
                <w:szCs w:val="16"/>
              </w:rPr>
              <w:t xml:space="preserve"> </w:t>
            </w:r>
            <w:r w:rsidRPr="00407D1A">
              <w:rPr>
                <w:color w:val="FFFFFF"/>
                <w:sz w:val="16"/>
                <w:szCs w:val="16"/>
              </w:rPr>
              <w:t>Assignment</w:t>
            </w:r>
          </w:p>
        </w:tc>
        <w:tc>
          <w:tcPr>
            <w:tcW w:w="980" w:type="dxa"/>
            <w:tcBorders>
              <w:top w:val="single" w:sz="4" w:space="0" w:color="0D4D9E"/>
              <w:bottom w:val="single" w:sz="6" w:space="0" w:color="0D4D9E"/>
            </w:tcBorders>
            <w:shd w:val="clear" w:color="auto" w:fill="0D4D9E"/>
          </w:tcPr>
          <w:p w14:paraId="2DC6C0FE" w14:textId="77777777" w:rsidR="00BB0667" w:rsidRPr="00407D1A" w:rsidRDefault="00BB0667" w:rsidP="00C3115B">
            <w:pPr>
              <w:pStyle w:val="Acutecare-new-agenda-hed"/>
              <w:jc w:val="center"/>
              <w:rPr>
                <w:color w:val="FFFFFF"/>
                <w:sz w:val="16"/>
                <w:szCs w:val="16"/>
              </w:rPr>
            </w:pPr>
            <w:r w:rsidRPr="00837D17">
              <w:rPr>
                <w:color w:val="FFFFFF"/>
                <w:sz w:val="16"/>
                <w:szCs w:val="16"/>
              </w:rPr>
              <w:t>Date</w:t>
            </w:r>
            <w:r w:rsidRPr="00407D1A">
              <w:rPr>
                <w:color w:val="FFFFFF"/>
                <w:sz w:val="16"/>
                <w:szCs w:val="16"/>
              </w:rPr>
              <w:t xml:space="preserve"> Completed</w:t>
            </w:r>
          </w:p>
        </w:tc>
      </w:tr>
      <w:tr w:rsidR="00481D01" w:rsidRPr="00473B6D" w14:paraId="579D273C" w14:textId="77777777" w:rsidTr="005F5E78">
        <w:trPr>
          <w:jc w:val="center"/>
        </w:trPr>
        <w:tc>
          <w:tcPr>
            <w:tcW w:w="3888" w:type="dxa"/>
            <w:gridSpan w:val="6"/>
            <w:tcBorders>
              <w:top w:val="single" w:sz="6" w:space="0" w:color="0D4D9E"/>
              <w:bottom w:val="single" w:sz="6" w:space="0" w:color="0D4D9E"/>
            </w:tcBorders>
            <w:shd w:val="clear" w:color="auto" w:fill="BBCEEB"/>
          </w:tcPr>
          <w:p w14:paraId="77A031A3" w14:textId="77777777" w:rsidR="00481D01" w:rsidRPr="00AD200C" w:rsidRDefault="00CD3AE8" w:rsidP="00AD200C">
            <w:pPr>
              <w:pStyle w:val="Acutecare-new-agenda-hed"/>
              <w:jc w:val="center"/>
              <w:rPr>
                <w:bCs/>
              </w:rPr>
            </w:pPr>
            <w:r w:rsidRPr="008F4409">
              <w:t>Prevent accidental daily methotrexate dosing</w:t>
            </w:r>
          </w:p>
        </w:tc>
      </w:tr>
      <w:tr w:rsidR="00AF03A8" w:rsidRPr="00C02132" w14:paraId="63996A23" w14:textId="77777777" w:rsidTr="005F5E78">
        <w:trPr>
          <w:jc w:val="center"/>
        </w:trPr>
        <w:tc>
          <w:tcPr>
            <w:tcW w:w="792" w:type="dxa"/>
            <w:tcBorders>
              <w:top w:val="single" w:sz="6" w:space="0" w:color="0D4D9E"/>
              <w:bottom w:val="single" w:sz="6" w:space="0" w:color="0D4D9E"/>
            </w:tcBorders>
            <w:shd w:val="clear" w:color="auto" w:fill="F0EBD3"/>
          </w:tcPr>
          <w:p w14:paraId="42F70DBA" w14:textId="77777777" w:rsidR="007760F8" w:rsidRDefault="00AF03A8" w:rsidP="007760F8">
            <w:pPr>
              <w:pStyle w:val="agenda-BODY"/>
              <w:rPr>
                <w:rFonts w:eastAsia="Univers LT Std 47 Cn Lt"/>
                <w:w w:val="110"/>
              </w:rPr>
            </w:pPr>
            <w:r w:rsidRPr="008F4409">
              <w:t>08/18</w:t>
            </w:r>
          </w:p>
          <w:p w14:paraId="1AD665C0" w14:textId="77777777" w:rsidR="00AF03A8" w:rsidRPr="008F4409" w:rsidRDefault="007760F8" w:rsidP="007760F8">
            <w:pPr>
              <w:pStyle w:val="agenda-BODY"/>
            </w:pPr>
            <w:r>
              <w:rPr>
                <w:rFonts w:eastAsia="Akzidenz Grotesk BE Cn"/>
                <w:noProof/>
              </w:rPr>
              <w:drawing>
                <wp:inline distT="0" distB="0" distL="0" distR="0" wp14:anchorId="40BAA0DB" wp14:editId="52B9CF71">
                  <wp:extent cx="167005" cy="127000"/>
                  <wp:effectExtent l="0" t="0" r="4445" b="6350"/>
                  <wp:docPr id="1" name="Picture 1" descr="agenda safety icon-al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genda safety icon-aler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7005" cy="127000"/>
                          </a:xfrm>
                          <a:prstGeom prst="rect">
                            <a:avLst/>
                          </a:prstGeom>
                          <a:noFill/>
                          <a:ln>
                            <a:noFill/>
                          </a:ln>
                        </pic:spPr>
                      </pic:pic>
                    </a:graphicData>
                  </a:graphic>
                </wp:inline>
              </w:drawing>
            </w:r>
          </w:p>
        </w:tc>
        <w:tc>
          <w:tcPr>
            <w:tcW w:w="3600" w:type="dxa"/>
            <w:tcBorders>
              <w:top w:val="single" w:sz="6" w:space="0" w:color="0D4D9E"/>
              <w:bottom w:val="single" w:sz="6" w:space="0" w:color="0D4D9E"/>
            </w:tcBorders>
            <w:shd w:val="clear" w:color="auto" w:fill="FFF3D6"/>
          </w:tcPr>
          <w:p w14:paraId="2E0A2DAD" w14:textId="77777777" w:rsidR="00AF03A8" w:rsidRPr="00FD0D78" w:rsidRDefault="00AF03A8" w:rsidP="007C176B">
            <w:pPr>
              <w:pStyle w:val="agenda-BODY"/>
              <w:rPr>
                <w:sz w:val="20"/>
              </w:rPr>
            </w:pPr>
            <w:bookmarkStart w:id="19" w:name="_GoBack"/>
            <w:bookmarkEnd w:id="19"/>
            <w:r w:rsidRPr="00FD0D78">
              <w:rPr>
                <w:sz w:val="20"/>
              </w:rPr>
              <w:t xml:space="preserve">ISMP has designated oral methotrexate for nononcologic use as a high-alert medication since 2003. Although the risk of errors with oral methotrexate for nononcologic use has been known for a long time, harmful and fatal errors are still occurring. Ongoing errors suggest that more needs to be done to reduce the risk of patient harm. </w:t>
            </w:r>
          </w:p>
        </w:tc>
        <w:tc>
          <w:tcPr>
            <w:tcW w:w="3888" w:type="dxa"/>
            <w:tcBorders>
              <w:top w:val="single" w:sz="6" w:space="0" w:color="0D4D9E"/>
              <w:bottom w:val="single" w:sz="6" w:space="0" w:color="0D4D9E"/>
            </w:tcBorders>
            <w:shd w:val="clear" w:color="auto" w:fill="F0EBD3"/>
          </w:tcPr>
          <w:p w14:paraId="5786FECB" w14:textId="4F86AA05" w:rsidR="00FD0D78" w:rsidRPr="00FD0D78" w:rsidRDefault="00AF03A8" w:rsidP="007C176B">
            <w:pPr>
              <w:pStyle w:val="agenda-BODY"/>
              <w:rPr>
                <w:sz w:val="20"/>
              </w:rPr>
            </w:pPr>
            <w:r w:rsidRPr="00FD0D78">
              <w:rPr>
                <w:sz w:val="20"/>
              </w:rPr>
              <w:t xml:space="preserve">Default to a weekly dosing schedule and require verification and entry of an oncologic indication for daily orders in order entry systems. Limit the prescription quantity to a 30-day supply and verify the dose and frequency on all medication lists and patient instructions. Educate patients and provide them with verbal and written instructions that specify the weekly dosing schedule. Provide clear instructions on pharmacy labels for weekly dosing and specify the day of the week (written in full, not abbreviated) the medication should be taken. More strategies are available in full newsletter article. </w:t>
            </w:r>
          </w:p>
        </w:tc>
        <w:tc>
          <w:tcPr>
            <w:tcW w:w="2880" w:type="dxa"/>
            <w:tcBorders>
              <w:top w:val="single" w:sz="6" w:space="0" w:color="0D4D9E"/>
              <w:bottom w:val="single" w:sz="6" w:space="0" w:color="0D4D9E"/>
            </w:tcBorders>
            <w:shd w:val="clear" w:color="auto" w:fill="FFFFFF"/>
          </w:tcPr>
          <w:p w14:paraId="70E98D61" w14:textId="77777777" w:rsidR="00AF03A8" w:rsidRPr="00C02132" w:rsidRDefault="00AF03A8" w:rsidP="00B36686">
            <w:pPr>
              <w:pStyle w:val="AC-table-body"/>
              <w:tabs>
                <w:tab w:val="clear" w:pos="5735"/>
                <w:tab w:val="clear" w:pos="7906"/>
                <w:tab w:val="clear" w:pos="10080"/>
              </w:tabs>
            </w:pPr>
          </w:p>
        </w:tc>
        <w:tc>
          <w:tcPr>
            <w:tcW w:w="2880" w:type="dxa"/>
            <w:tcBorders>
              <w:top w:val="single" w:sz="6" w:space="0" w:color="0D4D9E"/>
              <w:bottom w:val="single" w:sz="6" w:space="0" w:color="0D4D9E"/>
            </w:tcBorders>
            <w:shd w:val="clear" w:color="auto" w:fill="FFFFFF"/>
          </w:tcPr>
          <w:p w14:paraId="4AE1C80F" w14:textId="77777777" w:rsidR="00AF03A8" w:rsidRPr="00C02132" w:rsidRDefault="00AF03A8" w:rsidP="00B36686">
            <w:pPr>
              <w:pStyle w:val="AC-table-body"/>
              <w:tabs>
                <w:tab w:val="clear" w:pos="5735"/>
                <w:tab w:val="clear" w:pos="7906"/>
                <w:tab w:val="clear" w:pos="10080"/>
              </w:tabs>
            </w:pPr>
          </w:p>
        </w:tc>
        <w:tc>
          <w:tcPr>
            <w:tcW w:w="980" w:type="dxa"/>
            <w:tcBorders>
              <w:top w:val="single" w:sz="6" w:space="0" w:color="0D4D9E"/>
              <w:bottom w:val="single" w:sz="6" w:space="0" w:color="0D4D9E"/>
            </w:tcBorders>
            <w:shd w:val="clear" w:color="auto" w:fill="FFFFFF"/>
          </w:tcPr>
          <w:p w14:paraId="52C4D12C" w14:textId="77777777" w:rsidR="00AF03A8" w:rsidRPr="00C02132" w:rsidRDefault="00AF03A8" w:rsidP="00B36686">
            <w:pPr>
              <w:pStyle w:val="AC-table-body"/>
              <w:tabs>
                <w:tab w:val="clear" w:pos="5735"/>
                <w:tab w:val="clear" w:pos="7906"/>
                <w:tab w:val="clear" w:pos="10080"/>
              </w:tabs>
            </w:pPr>
          </w:p>
        </w:tc>
      </w:tr>
      <w:tr w:rsidR="00481D01" w:rsidRPr="00C02132" w14:paraId="2E373D09" w14:textId="77777777" w:rsidTr="005F5E78">
        <w:trPr>
          <w:jc w:val="center"/>
        </w:trPr>
        <w:tc>
          <w:tcPr>
            <w:tcW w:w="3888" w:type="dxa"/>
            <w:gridSpan w:val="6"/>
            <w:tcBorders>
              <w:top w:val="single" w:sz="6" w:space="0" w:color="0D4D9E"/>
              <w:bottom w:val="single" w:sz="6" w:space="0" w:color="0D4D9E"/>
            </w:tcBorders>
            <w:shd w:val="clear" w:color="auto" w:fill="BBCEEB"/>
          </w:tcPr>
          <w:p w14:paraId="0F89A2CD" w14:textId="77777777" w:rsidR="00481D01" w:rsidRPr="007622A8" w:rsidRDefault="00CD3AE8" w:rsidP="00481D01">
            <w:pPr>
              <w:pStyle w:val="Acutecare-new-agenda-hed"/>
              <w:tabs>
                <w:tab w:val="clear" w:pos="5735"/>
                <w:tab w:val="clear" w:pos="7906"/>
                <w:tab w:val="clear" w:pos="10080"/>
              </w:tabs>
              <w:jc w:val="center"/>
              <w:rPr>
                <w:b w:val="0"/>
              </w:rPr>
            </w:pPr>
            <w:r w:rsidRPr="008F4409">
              <w:t>Reduce the risk of medication errors at school</w:t>
            </w:r>
          </w:p>
        </w:tc>
      </w:tr>
      <w:tr w:rsidR="00CD3AE8" w:rsidRPr="00C02132" w14:paraId="3345857E" w14:textId="77777777" w:rsidTr="005F5E78">
        <w:trPr>
          <w:jc w:val="center"/>
        </w:trPr>
        <w:tc>
          <w:tcPr>
            <w:tcW w:w="792" w:type="dxa"/>
            <w:tcBorders>
              <w:top w:val="single" w:sz="6" w:space="0" w:color="0D4D9E"/>
              <w:bottom w:val="single" w:sz="6" w:space="0" w:color="0D4D9E"/>
            </w:tcBorders>
            <w:shd w:val="clear" w:color="auto" w:fill="F0EBD3"/>
          </w:tcPr>
          <w:p w14:paraId="182D3C57" w14:textId="77777777" w:rsidR="00CD3AE8" w:rsidRPr="002D39B6" w:rsidRDefault="00CD3AE8" w:rsidP="007760F8">
            <w:pPr>
              <w:pStyle w:val="agenda-BODY"/>
              <w:rPr>
                <w:rFonts w:ascii="Univers LT Std 57 Cn" w:eastAsia="Univers LT Std 57 Cn" w:hAnsi="Univers LT Std 57 Cn" w:cs="Univers LT Std 57 Cn"/>
                <w:w w:val="110"/>
              </w:rPr>
            </w:pPr>
            <w:r>
              <w:rPr>
                <w:rFonts w:eastAsia="Univers LT Std 47 Cn Lt"/>
                <w:w w:val="110"/>
              </w:rPr>
              <w:t>08/18</w:t>
            </w:r>
          </w:p>
        </w:tc>
        <w:tc>
          <w:tcPr>
            <w:tcW w:w="3600" w:type="dxa"/>
            <w:tcBorders>
              <w:top w:val="single" w:sz="6" w:space="0" w:color="0D4D9E"/>
              <w:bottom w:val="single" w:sz="6" w:space="0" w:color="0D4D9E"/>
            </w:tcBorders>
            <w:shd w:val="clear" w:color="auto" w:fill="FFF3D6"/>
          </w:tcPr>
          <w:p w14:paraId="1A70A6AE" w14:textId="77777777" w:rsidR="00CD3AE8" w:rsidRPr="00FD0D78" w:rsidRDefault="00CD3AE8" w:rsidP="007C176B">
            <w:pPr>
              <w:pStyle w:val="agenda-BODY"/>
              <w:rPr>
                <w:rFonts w:eastAsia="Univers LT Std 47 Cn Lt"/>
                <w:sz w:val="20"/>
              </w:rPr>
            </w:pPr>
            <w:r w:rsidRPr="00FD0D78">
              <w:rPr>
                <w:rFonts w:eastAsia="Univers LT Std 47 Cn Lt"/>
                <w:sz w:val="20"/>
              </w:rPr>
              <w:t>Just like any other location where medications are administered, errors can and do happen at schools. Children may receive their medication at school from staff who have no medical training. Prescribers and pharmacists can take steps to help parents, school staff, and school nurses safely navigate the use of medications at school.</w:t>
            </w:r>
          </w:p>
        </w:tc>
        <w:tc>
          <w:tcPr>
            <w:tcW w:w="3888" w:type="dxa"/>
            <w:tcBorders>
              <w:top w:val="single" w:sz="6" w:space="0" w:color="0D4D9E"/>
              <w:bottom w:val="single" w:sz="6" w:space="0" w:color="0D4D9E"/>
            </w:tcBorders>
            <w:shd w:val="clear" w:color="auto" w:fill="F0EBD3"/>
          </w:tcPr>
          <w:p w14:paraId="6EB72937" w14:textId="433185DF" w:rsidR="00FD0D78" w:rsidRPr="00FD0D78" w:rsidRDefault="00CD3AE8" w:rsidP="005F5E78">
            <w:pPr>
              <w:pStyle w:val="agenda-BODY"/>
              <w:rPr>
                <w:rFonts w:eastAsia="Univers LT Std 47 Cn Lt" w:cs="Univers LT Std 47 Cn Lt"/>
                <w:b/>
                <w:spacing w:val="-2"/>
                <w:w w:val="110"/>
                <w:sz w:val="20"/>
              </w:rPr>
            </w:pPr>
            <w:r w:rsidRPr="00FD0D78">
              <w:rPr>
                <w:rFonts w:eastAsia="Univers LT Std 47 Cn Lt"/>
                <w:w w:val="110"/>
                <w:sz w:val="20"/>
              </w:rPr>
              <w:t>Prescribers: Provide complete instructions that parents, school staff, and nurses can use for prescription and over-the-counter medications. The instructions should include, for example, name of the child; date of the order; name, purpose, and dose of the medication; instructions on how often to administer the medication; by which route it should be administered; and any special instructions or precautions. Pharmacists: Ensure the pharmacy label’s instructions include guidance on the time of administration and how long the medication should be given. Offer, as appropriate, to divide the child’s medication into two bottles, each with its own label, so one can be kept at home and the other at school.</w:t>
            </w:r>
          </w:p>
        </w:tc>
        <w:tc>
          <w:tcPr>
            <w:tcW w:w="2880" w:type="dxa"/>
            <w:tcBorders>
              <w:top w:val="single" w:sz="6" w:space="0" w:color="0D4D9E"/>
              <w:bottom w:val="single" w:sz="6" w:space="0" w:color="0D4D9E"/>
            </w:tcBorders>
            <w:shd w:val="clear" w:color="auto" w:fill="FFFFFF"/>
          </w:tcPr>
          <w:p w14:paraId="03B5122E" w14:textId="77777777" w:rsidR="00CD3AE8" w:rsidRPr="00C02132" w:rsidRDefault="00CD3AE8" w:rsidP="00B36686">
            <w:pPr>
              <w:pStyle w:val="Acutecare-new-agenda-hed"/>
              <w:tabs>
                <w:tab w:val="clear" w:pos="5735"/>
                <w:tab w:val="clear" w:pos="7906"/>
                <w:tab w:val="clear" w:pos="10080"/>
              </w:tabs>
            </w:pPr>
          </w:p>
        </w:tc>
        <w:tc>
          <w:tcPr>
            <w:tcW w:w="2880" w:type="dxa"/>
            <w:tcBorders>
              <w:top w:val="single" w:sz="6" w:space="0" w:color="0D4D9E"/>
              <w:bottom w:val="single" w:sz="6" w:space="0" w:color="0D4D9E"/>
            </w:tcBorders>
            <w:shd w:val="clear" w:color="auto" w:fill="FFFFFF"/>
          </w:tcPr>
          <w:p w14:paraId="5487111A" w14:textId="77777777" w:rsidR="00CD3AE8" w:rsidRPr="00C02132" w:rsidRDefault="00CD3AE8" w:rsidP="00B36686">
            <w:pPr>
              <w:pStyle w:val="Acutecare-new-agenda-hed"/>
              <w:tabs>
                <w:tab w:val="clear" w:pos="5735"/>
                <w:tab w:val="clear" w:pos="7906"/>
                <w:tab w:val="clear" w:pos="10080"/>
              </w:tabs>
            </w:pPr>
          </w:p>
        </w:tc>
        <w:tc>
          <w:tcPr>
            <w:tcW w:w="980" w:type="dxa"/>
            <w:tcBorders>
              <w:top w:val="single" w:sz="6" w:space="0" w:color="0D4D9E"/>
              <w:bottom w:val="single" w:sz="6" w:space="0" w:color="0D4D9E"/>
            </w:tcBorders>
            <w:shd w:val="clear" w:color="auto" w:fill="FFFFFF"/>
          </w:tcPr>
          <w:p w14:paraId="5CA7FA98" w14:textId="77777777" w:rsidR="00CD3AE8" w:rsidRPr="00C02132" w:rsidRDefault="00CD3AE8" w:rsidP="00B36686">
            <w:pPr>
              <w:pStyle w:val="Acutecare-new-agenda-hed"/>
              <w:tabs>
                <w:tab w:val="clear" w:pos="5735"/>
                <w:tab w:val="clear" w:pos="7906"/>
                <w:tab w:val="clear" w:pos="10080"/>
              </w:tabs>
            </w:pPr>
          </w:p>
        </w:tc>
      </w:tr>
      <w:tr w:rsidR="0063613F" w:rsidRPr="00C02132" w14:paraId="7828B7C0" w14:textId="77777777" w:rsidTr="005F5E78">
        <w:trPr>
          <w:jc w:val="center"/>
        </w:trPr>
        <w:tc>
          <w:tcPr>
            <w:tcW w:w="3888" w:type="dxa"/>
            <w:gridSpan w:val="6"/>
            <w:tcBorders>
              <w:top w:val="single" w:sz="6" w:space="0" w:color="0D4D9E"/>
              <w:bottom w:val="single" w:sz="6" w:space="0" w:color="0D4D9E"/>
            </w:tcBorders>
            <w:shd w:val="clear" w:color="auto" w:fill="BBCEEB"/>
          </w:tcPr>
          <w:p w14:paraId="0D1EF84F" w14:textId="77777777" w:rsidR="0063613F" w:rsidRPr="00AE2336" w:rsidRDefault="00807D01" w:rsidP="0063613F">
            <w:pPr>
              <w:pStyle w:val="Acutecare-new-agenda-hed"/>
              <w:tabs>
                <w:tab w:val="clear" w:pos="5735"/>
                <w:tab w:val="clear" w:pos="7906"/>
                <w:tab w:val="clear" w:pos="10080"/>
              </w:tabs>
              <w:jc w:val="center"/>
            </w:pPr>
            <w:r w:rsidRPr="008F4409">
              <w:lastRenderedPageBreak/>
              <w:t>Analysis of vaccine errors reported in 2017 shows errors continue with little change</w:t>
            </w:r>
          </w:p>
        </w:tc>
      </w:tr>
      <w:tr w:rsidR="003F04B4" w:rsidRPr="00C02132" w14:paraId="0D406DC4" w14:textId="77777777" w:rsidTr="005F5E78">
        <w:trPr>
          <w:jc w:val="center"/>
        </w:trPr>
        <w:tc>
          <w:tcPr>
            <w:tcW w:w="792" w:type="dxa"/>
            <w:tcBorders>
              <w:top w:val="single" w:sz="6" w:space="0" w:color="0D4D9E"/>
              <w:bottom w:val="single" w:sz="6" w:space="0" w:color="0D4D9E"/>
            </w:tcBorders>
            <w:shd w:val="clear" w:color="auto" w:fill="F0EBD3"/>
          </w:tcPr>
          <w:p w14:paraId="4D1E44C6" w14:textId="77777777" w:rsidR="003F04B4" w:rsidRPr="008F4409" w:rsidRDefault="003F04B4" w:rsidP="00FD68FA">
            <w:pPr>
              <w:pStyle w:val="agenda-BODY"/>
            </w:pPr>
            <w:r w:rsidRPr="008F4409">
              <w:t>06/18</w:t>
            </w:r>
          </w:p>
        </w:tc>
        <w:tc>
          <w:tcPr>
            <w:tcW w:w="3600" w:type="dxa"/>
            <w:tcBorders>
              <w:top w:val="single" w:sz="6" w:space="0" w:color="0D4D9E"/>
              <w:bottom w:val="single" w:sz="6" w:space="0" w:color="0D4D9E"/>
            </w:tcBorders>
            <w:shd w:val="clear" w:color="auto" w:fill="FFF3D6"/>
          </w:tcPr>
          <w:p w14:paraId="1D413BDF" w14:textId="4F3E9865" w:rsidR="00FD0D78" w:rsidRPr="00FD0D78" w:rsidRDefault="003F04B4" w:rsidP="007C176B">
            <w:pPr>
              <w:pStyle w:val="agenda-BODY"/>
              <w:rPr>
                <w:sz w:val="20"/>
              </w:rPr>
            </w:pPr>
            <w:r w:rsidRPr="00FD0D78">
              <w:rPr>
                <w:sz w:val="20"/>
              </w:rPr>
              <w:t xml:space="preserve">The vaccines involved most often in errors have not changed since 2012: </w:t>
            </w:r>
            <w:proofErr w:type="spellStart"/>
            <w:r w:rsidRPr="00FD0D78">
              <w:rPr>
                <w:sz w:val="20"/>
              </w:rPr>
              <w:t>HepA</w:t>
            </w:r>
            <w:proofErr w:type="spellEnd"/>
            <w:r w:rsidRPr="00FD0D78">
              <w:rPr>
                <w:sz w:val="20"/>
              </w:rPr>
              <w:t xml:space="preserve">, DTaP-IPV, influenza virus, Tdap, </w:t>
            </w:r>
            <w:proofErr w:type="spellStart"/>
            <w:r w:rsidRPr="00FD0D78">
              <w:rPr>
                <w:sz w:val="20"/>
              </w:rPr>
              <w:t>HepB</w:t>
            </w:r>
            <w:proofErr w:type="spellEnd"/>
            <w:r w:rsidRPr="00FD0D78">
              <w:rPr>
                <w:sz w:val="20"/>
              </w:rPr>
              <w:t>, MMRV, 9vHPV, DTaP, and DTaP-IPV/Hib. These errors have many of the same contributing factors previously identified, including: age-dependent formulations of the same vaccine; unfamiliarity with the indicated ages, dosing, and schedules; similar brand and generic names, abbreviations, and labeling; and failing to verify the patient’s age or check the patient’s record or vaccine registry prior to vaccination.</w:t>
            </w:r>
          </w:p>
        </w:tc>
        <w:tc>
          <w:tcPr>
            <w:tcW w:w="3888" w:type="dxa"/>
            <w:tcBorders>
              <w:top w:val="single" w:sz="6" w:space="0" w:color="0D4D9E"/>
              <w:bottom w:val="single" w:sz="6" w:space="0" w:color="0D4D9E"/>
            </w:tcBorders>
            <w:shd w:val="clear" w:color="auto" w:fill="F0EBD3"/>
          </w:tcPr>
          <w:p w14:paraId="6AA2889D" w14:textId="77777777" w:rsidR="003F04B4" w:rsidRPr="00FD0D78" w:rsidRDefault="003F04B4" w:rsidP="007C176B">
            <w:pPr>
              <w:pStyle w:val="agenda-BODY"/>
              <w:rPr>
                <w:sz w:val="20"/>
              </w:rPr>
            </w:pPr>
            <w:r w:rsidRPr="00FD0D78">
              <w:rPr>
                <w:sz w:val="20"/>
              </w:rPr>
              <w:t xml:space="preserve">Examine protocols and how vaccine names are presented on computer screens and medication administration records. Set up the treatment area to reduce the risk of wrong patient errors. Take precautions during vaccine dispensing and verify the patient’s immunization status. Be sure to provide education to the patient and staff. A table of staff educational topics associated with frequently reported vaccine errors can be found in the June 2018 issue of the ISMP Medication </w:t>
            </w:r>
            <w:r w:rsidRPr="00FD0D78">
              <w:rPr>
                <w:i/>
                <w:sz w:val="20"/>
              </w:rPr>
              <w:t>Safety Alert!</w:t>
            </w:r>
            <w:r w:rsidRPr="00FD0D78">
              <w:rPr>
                <w:sz w:val="20"/>
              </w:rPr>
              <w:t xml:space="preserve"> Community/Ambulatory Care.</w:t>
            </w:r>
          </w:p>
        </w:tc>
        <w:tc>
          <w:tcPr>
            <w:tcW w:w="2880" w:type="dxa"/>
            <w:tcBorders>
              <w:top w:val="single" w:sz="6" w:space="0" w:color="0D4D9E"/>
              <w:bottom w:val="single" w:sz="6" w:space="0" w:color="0D4D9E"/>
            </w:tcBorders>
            <w:shd w:val="clear" w:color="auto" w:fill="FFFFFF"/>
          </w:tcPr>
          <w:p w14:paraId="785FEE7C" w14:textId="77777777" w:rsidR="003F04B4" w:rsidRPr="00C02132" w:rsidRDefault="003F04B4" w:rsidP="00B36686">
            <w:pPr>
              <w:pStyle w:val="Acutecare-new-agenda-hed"/>
              <w:tabs>
                <w:tab w:val="clear" w:pos="5735"/>
                <w:tab w:val="clear" w:pos="7906"/>
                <w:tab w:val="clear" w:pos="10080"/>
              </w:tabs>
            </w:pPr>
          </w:p>
        </w:tc>
        <w:tc>
          <w:tcPr>
            <w:tcW w:w="2880" w:type="dxa"/>
            <w:tcBorders>
              <w:top w:val="single" w:sz="6" w:space="0" w:color="0D4D9E"/>
              <w:bottom w:val="single" w:sz="6" w:space="0" w:color="0D4D9E"/>
            </w:tcBorders>
            <w:shd w:val="clear" w:color="auto" w:fill="FFFFFF"/>
          </w:tcPr>
          <w:p w14:paraId="134D0A21" w14:textId="77777777" w:rsidR="003F04B4" w:rsidRPr="00C02132" w:rsidRDefault="003F04B4" w:rsidP="00B36686">
            <w:pPr>
              <w:pStyle w:val="Acutecare-new-agenda-hed"/>
              <w:tabs>
                <w:tab w:val="clear" w:pos="5735"/>
                <w:tab w:val="clear" w:pos="7906"/>
                <w:tab w:val="clear" w:pos="10080"/>
              </w:tabs>
            </w:pPr>
          </w:p>
        </w:tc>
        <w:tc>
          <w:tcPr>
            <w:tcW w:w="980" w:type="dxa"/>
            <w:tcBorders>
              <w:top w:val="single" w:sz="6" w:space="0" w:color="0D4D9E"/>
              <w:bottom w:val="single" w:sz="6" w:space="0" w:color="0D4D9E"/>
            </w:tcBorders>
            <w:shd w:val="clear" w:color="auto" w:fill="FFFFFF"/>
          </w:tcPr>
          <w:p w14:paraId="0D8A49DD" w14:textId="77777777" w:rsidR="003F04B4" w:rsidRPr="00C02132" w:rsidRDefault="003F04B4" w:rsidP="00B36686">
            <w:pPr>
              <w:pStyle w:val="Acutecare-new-agenda-hed"/>
              <w:tabs>
                <w:tab w:val="clear" w:pos="5735"/>
                <w:tab w:val="clear" w:pos="7906"/>
                <w:tab w:val="clear" w:pos="10080"/>
              </w:tabs>
            </w:pPr>
          </w:p>
        </w:tc>
      </w:tr>
      <w:tr w:rsidR="0063613F" w:rsidRPr="00C02132" w14:paraId="06549F6B" w14:textId="77777777" w:rsidTr="005F5E78">
        <w:trPr>
          <w:jc w:val="center"/>
        </w:trPr>
        <w:tc>
          <w:tcPr>
            <w:tcW w:w="3888" w:type="dxa"/>
            <w:gridSpan w:val="6"/>
            <w:tcBorders>
              <w:top w:val="single" w:sz="6" w:space="0" w:color="0D4D9E"/>
              <w:bottom w:val="single" w:sz="6" w:space="0" w:color="0D4D9E"/>
            </w:tcBorders>
            <w:shd w:val="clear" w:color="auto" w:fill="BBCEEB"/>
          </w:tcPr>
          <w:p w14:paraId="7BBFC0CE" w14:textId="77777777" w:rsidR="0063613F" w:rsidRPr="00AE2336" w:rsidRDefault="00807D01" w:rsidP="0063613F">
            <w:pPr>
              <w:pStyle w:val="Acutecare-new-agenda-hed"/>
              <w:tabs>
                <w:tab w:val="clear" w:pos="5735"/>
                <w:tab w:val="clear" w:pos="7906"/>
                <w:tab w:val="clear" w:pos="10080"/>
              </w:tabs>
              <w:jc w:val="center"/>
            </w:pPr>
            <w:r w:rsidRPr="008F4409">
              <w:t>Error reports with SHINGRIX and ZOSTAVAX herpes zoster vaccines</w:t>
            </w:r>
          </w:p>
        </w:tc>
      </w:tr>
      <w:tr w:rsidR="003F04B4" w:rsidRPr="00C02132" w14:paraId="5A8A3C84" w14:textId="77777777" w:rsidTr="005F5E78">
        <w:trPr>
          <w:jc w:val="center"/>
        </w:trPr>
        <w:tc>
          <w:tcPr>
            <w:tcW w:w="792" w:type="dxa"/>
            <w:tcBorders>
              <w:top w:val="single" w:sz="6" w:space="0" w:color="0D4D9E"/>
              <w:bottom w:val="single" w:sz="6" w:space="0" w:color="0D4D9E"/>
            </w:tcBorders>
            <w:shd w:val="clear" w:color="auto" w:fill="F0EBD3"/>
          </w:tcPr>
          <w:p w14:paraId="777473A8" w14:textId="77777777" w:rsidR="003F04B4" w:rsidRPr="008F4409" w:rsidRDefault="003F04B4" w:rsidP="00FD68FA">
            <w:pPr>
              <w:pStyle w:val="agenda-BODY"/>
            </w:pPr>
            <w:r w:rsidRPr="008F4409">
              <w:t>06/18</w:t>
            </w:r>
          </w:p>
        </w:tc>
        <w:tc>
          <w:tcPr>
            <w:tcW w:w="3600" w:type="dxa"/>
            <w:tcBorders>
              <w:top w:val="single" w:sz="6" w:space="0" w:color="0D4D9E"/>
              <w:bottom w:val="single" w:sz="6" w:space="0" w:color="0D4D9E"/>
            </w:tcBorders>
            <w:shd w:val="clear" w:color="auto" w:fill="FFF3D6"/>
          </w:tcPr>
          <w:p w14:paraId="2FCFB7F6" w14:textId="66B54DD1" w:rsidR="007760F8" w:rsidRPr="005F5E78" w:rsidRDefault="003F04B4" w:rsidP="00FD68FA">
            <w:pPr>
              <w:pStyle w:val="agenda-BODY"/>
              <w:rPr>
                <w:sz w:val="20"/>
              </w:rPr>
            </w:pPr>
            <w:r w:rsidRPr="00FD0D78">
              <w:rPr>
                <w:sz w:val="20"/>
              </w:rPr>
              <w:t xml:space="preserve">Different storage requirements of components/diluents and routes of administration for </w:t>
            </w:r>
            <w:proofErr w:type="spellStart"/>
            <w:r w:rsidRPr="00FD0D78">
              <w:rPr>
                <w:sz w:val="20"/>
              </w:rPr>
              <w:t>Shingrix</w:t>
            </w:r>
            <w:proofErr w:type="spellEnd"/>
            <w:r w:rsidRPr="00FD0D78">
              <w:rPr>
                <w:sz w:val="20"/>
              </w:rPr>
              <w:t xml:space="preserve"> and Zostavax have led to errors. </w:t>
            </w:r>
            <w:proofErr w:type="spellStart"/>
            <w:r w:rsidRPr="00FD0D78">
              <w:rPr>
                <w:sz w:val="20"/>
              </w:rPr>
              <w:t>Shingrix</w:t>
            </w:r>
            <w:proofErr w:type="spellEnd"/>
            <w:r w:rsidRPr="00FD0D78">
              <w:rPr>
                <w:sz w:val="20"/>
              </w:rPr>
              <w:t xml:space="preserve"> lyophilized antigen and adjuvant suspension must both be refrigerated. The Zostavax lyophilized vaccine component must be frozen, and its sterile water diluent must be refrigerated or kept at room temperature. </w:t>
            </w:r>
            <w:proofErr w:type="spellStart"/>
            <w:r w:rsidRPr="00FD0D78">
              <w:rPr>
                <w:sz w:val="20"/>
              </w:rPr>
              <w:t>Shingrix</w:t>
            </w:r>
            <w:proofErr w:type="spellEnd"/>
            <w:r w:rsidRPr="00FD0D78">
              <w:rPr>
                <w:sz w:val="20"/>
              </w:rPr>
              <w:t xml:space="preserve"> is administered intramuscularly (IM) while Zostavax is given subcutaneously.</w:t>
            </w:r>
          </w:p>
        </w:tc>
        <w:tc>
          <w:tcPr>
            <w:tcW w:w="3888" w:type="dxa"/>
            <w:tcBorders>
              <w:top w:val="single" w:sz="6" w:space="0" w:color="0D4D9E"/>
              <w:bottom w:val="single" w:sz="6" w:space="0" w:color="0D4D9E"/>
            </w:tcBorders>
            <w:shd w:val="clear" w:color="auto" w:fill="F0EBD3"/>
          </w:tcPr>
          <w:p w14:paraId="4ED12073" w14:textId="77777777" w:rsidR="003F04B4" w:rsidRPr="00FD0D78" w:rsidRDefault="003F04B4" w:rsidP="007C176B">
            <w:pPr>
              <w:pStyle w:val="agenda-BODY"/>
              <w:rPr>
                <w:sz w:val="20"/>
              </w:rPr>
            </w:pPr>
            <w:r w:rsidRPr="00FD0D78">
              <w:rPr>
                <w:sz w:val="20"/>
              </w:rPr>
              <w:t xml:space="preserve">Educate staff about the differences between </w:t>
            </w:r>
            <w:proofErr w:type="spellStart"/>
            <w:r w:rsidRPr="00FD0D78">
              <w:rPr>
                <w:sz w:val="20"/>
              </w:rPr>
              <w:t>Shingrix</w:t>
            </w:r>
            <w:proofErr w:type="spellEnd"/>
            <w:r w:rsidRPr="00FD0D78">
              <w:rPr>
                <w:sz w:val="20"/>
              </w:rPr>
              <w:t xml:space="preserve"> and Zostavax. Label the storage bins/shelves using the updated Centers for Disease Control and Prevention (CDC) vaccine labels, which draw attention to the differences in storage, component/diluent, and routes of administration (</w:t>
            </w:r>
            <w:hyperlink r:id="rId10" w:history="1">
              <w:r w:rsidR="007C176B" w:rsidRPr="00FD0D78">
                <w:rPr>
                  <w:rStyle w:val="Hyperlink"/>
                  <w:sz w:val="20"/>
                </w:rPr>
                <w:t>www.ismp.org/sc?id=3101</w:t>
              </w:r>
            </w:hyperlink>
            <w:r w:rsidRPr="00FD0D78">
              <w:rPr>
                <w:sz w:val="20"/>
              </w:rPr>
              <w:t xml:space="preserve">). Store the </w:t>
            </w:r>
            <w:proofErr w:type="spellStart"/>
            <w:r w:rsidRPr="00FD0D78">
              <w:rPr>
                <w:sz w:val="20"/>
              </w:rPr>
              <w:t>Shingrix</w:t>
            </w:r>
            <w:proofErr w:type="spellEnd"/>
            <w:r w:rsidRPr="00FD0D78">
              <w:rPr>
                <w:sz w:val="20"/>
              </w:rPr>
              <w:t xml:space="preserve"> lyophilized component and adjuvant suspension together to reduce the risk of using the wrong diluent.</w:t>
            </w:r>
          </w:p>
        </w:tc>
        <w:tc>
          <w:tcPr>
            <w:tcW w:w="2880" w:type="dxa"/>
            <w:tcBorders>
              <w:top w:val="single" w:sz="6" w:space="0" w:color="0D4D9E"/>
              <w:bottom w:val="single" w:sz="6" w:space="0" w:color="0D4D9E"/>
            </w:tcBorders>
            <w:shd w:val="clear" w:color="auto" w:fill="FFFFFF"/>
          </w:tcPr>
          <w:p w14:paraId="47D6AB93" w14:textId="77777777" w:rsidR="003F04B4" w:rsidRPr="00C02132" w:rsidRDefault="003F04B4" w:rsidP="00B36686">
            <w:pPr>
              <w:pStyle w:val="Acutecare-new-agenda-hed"/>
              <w:tabs>
                <w:tab w:val="clear" w:pos="5735"/>
                <w:tab w:val="clear" w:pos="7906"/>
                <w:tab w:val="clear" w:pos="10080"/>
              </w:tabs>
            </w:pPr>
          </w:p>
        </w:tc>
        <w:tc>
          <w:tcPr>
            <w:tcW w:w="2880" w:type="dxa"/>
            <w:tcBorders>
              <w:top w:val="single" w:sz="6" w:space="0" w:color="0D4D9E"/>
              <w:bottom w:val="single" w:sz="6" w:space="0" w:color="0D4D9E"/>
            </w:tcBorders>
            <w:shd w:val="clear" w:color="auto" w:fill="FFFFFF"/>
          </w:tcPr>
          <w:p w14:paraId="11811167" w14:textId="77777777" w:rsidR="003F04B4" w:rsidRPr="00C02132" w:rsidRDefault="003F04B4" w:rsidP="00B36686">
            <w:pPr>
              <w:pStyle w:val="Acutecare-new-agenda-hed"/>
              <w:tabs>
                <w:tab w:val="clear" w:pos="5735"/>
                <w:tab w:val="clear" w:pos="7906"/>
                <w:tab w:val="clear" w:pos="10080"/>
              </w:tabs>
            </w:pPr>
          </w:p>
        </w:tc>
        <w:tc>
          <w:tcPr>
            <w:tcW w:w="980" w:type="dxa"/>
            <w:tcBorders>
              <w:top w:val="single" w:sz="6" w:space="0" w:color="0D4D9E"/>
              <w:bottom w:val="single" w:sz="6" w:space="0" w:color="0D4D9E"/>
            </w:tcBorders>
            <w:shd w:val="clear" w:color="auto" w:fill="FFFFFF"/>
          </w:tcPr>
          <w:p w14:paraId="1F855E95" w14:textId="77777777" w:rsidR="003F04B4" w:rsidRPr="00C02132" w:rsidRDefault="003F04B4" w:rsidP="00B36686">
            <w:pPr>
              <w:pStyle w:val="Acutecare-new-agenda-hed"/>
              <w:tabs>
                <w:tab w:val="clear" w:pos="5735"/>
                <w:tab w:val="clear" w:pos="7906"/>
                <w:tab w:val="clear" w:pos="10080"/>
              </w:tabs>
            </w:pPr>
          </w:p>
        </w:tc>
      </w:tr>
      <w:tr w:rsidR="0063613F" w:rsidRPr="00C02132" w14:paraId="365F1AD1" w14:textId="77777777" w:rsidTr="005F5E78">
        <w:trPr>
          <w:jc w:val="center"/>
        </w:trPr>
        <w:tc>
          <w:tcPr>
            <w:tcW w:w="3888" w:type="dxa"/>
            <w:gridSpan w:val="6"/>
            <w:tcBorders>
              <w:top w:val="single" w:sz="6" w:space="0" w:color="0D4D9E"/>
              <w:bottom w:val="single" w:sz="6" w:space="0" w:color="0D4D9E"/>
            </w:tcBorders>
            <w:shd w:val="clear" w:color="auto" w:fill="BBCEEB"/>
          </w:tcPr>
          <w:p w14:paraId="04406B40" w14:textId="77777777" w:rsidR="0063613F" w:rsidRPr="001770AC" w:rsidRDefault="005C307A" w:rsidP="001770AC">
            <w:pPr>
              <w:pStyle w:val="Acutecare-new-agenda-hed"/>
              <w:jc w:val="center"/>
              <w:rPr>
                <w:bCs/>
              </w:rPr>
            </w:pPr>
            <w:r>
              <w:rPr>
                <w:bCs/>
              </w:rPr>
              <w:t xml:space="preserve"> </w:t>
            </w:r>
            <w:r w:rsidR="00DB0CB7" w:rsidRPr="008F4409">
              <w:t>Implement a post-fill audit program</w:t>
            </w:r>
          </w:p>
        </w:tc>
      </w:tr>
      <w:tr w:rsidR="00954EA6" w:rsidRPr="00C02132" w14:paraId="08B142B5" w14:textId="77777777" w:rsidTr="005F5E78">
        <w:trPr>
          <w:jc w:val="center"/>
        </w:trPr>
        <w:tc>
          <w:tcPr>
            <w:tcW w:w="792" w:type="dxa"/>
            <w:tcBorders>
              <w:top w:val="single" w:sz="6" w:space="0" w:color="0D4D9E"/>
              <w:bottom w:val="single" w:sz="6" w:space="0" w:color="0D4D9E"/>
            </w:tcBorders>
            <w:shd w:val="clear" w:color="auto" w:fill="F0EBD3"/>
          </w:tcPr>
          <w:p w14:paraId="79948FFA" w14:textId="77777777" w:rsidR="00954EA6" w:rsidRPr="008F4409" w:rsidRDefault="00954EA6" w:rsidP="00FD68FA">
            <w:pPr>
              <w:pStyle w:val="agenda-BODY"/>
            </w:pPr>
            <w:r w:rsidRPr="008F4409">
              <w:t>08/18</w:t>
            </w:r>
          </w:p>
        </w:tc>
        <w:tc>
          <w:tcPr>
            <w:tcW w:w="3600" w:type="dxa"/>
            <w:tcBorders>
              <w:top w:val="single" w:sz="6" w:space="0" w:color="0D4D9E"/>
              <w:bottom w:val="single" w:sz="6" w:space="0" w:color="0D4D9E"/>
            </w:tcBorders>
            <w:shd w:val="clear" w:color="auto" w:fill="FFF3D6"/>
          </w:tcPr>
          <w:p w14:paraId="536451AC" w14:textId="36FA0DC5" w:rsidR="00FD0D78" w:rsidRPr="005F5E78" w:rsidRDefault="00954EA6" w:rsidP="007C176B">
            <w:pPr>
              <w:pStyle w:val="agenda-BODY"/>
              <w:rPr>
                <w:sz w:val="20"/>
              </w:rPr>
            </w:pPr>
            <w:r w:rsidRPr="00FD0D78">
              <w:rPr>
                <w:sz w:val="20"/>
              </w:rPr>
              <w:t xml:space="preserve">While we try to prevent and intercept errors when entering and preparing prescriptions, some errors make it all the way through the dispensing process. For example, during order entry of a prescription for amitriptyline 10 mg, the pharmacist selected amitriptyline 100 mg by mistake. The wrong strength of medication was dispensed to the patient. However, the error was intercepted later when a second pharmacist was reviewing prescriptions that had been processed over the previous 24 hours. </w:t>
            </w:r>
          </w:p>
        </w:tc>
        <w:tc>
          <w:tcPr>
            <w:tcW w:w="3888" w:type="dxa"/>
            <w:tcBorders>
              <w:top w:val="single" w:sz="6" w:space="0" w:color="0D4D9E"/>
              <w:bottom w:val="single" w:sz="6" w:space="0" w:color="0D4D9E"/>
            </w:tcBorders>
            <w:shd w:val="clear" w:color="auto" w:fill="F0EBD3"/>
          </w:tcPr>
          <w:p w14:paraId="4A9E0408" w14:textId="77777777" w:rsidR="00954EA6" w:rsidRPr="00FD0D78" w:rsidRDefault="00954EA6" w:rsidP="007C176B">
            <w:pPr>
              <w:pStyle w:val="agenda-BODY"/>
              <w:rPr>
                <w:sz w:val="20"/>
              </w:rPr>
            </w:pPr>
            <w:r w:rsidRPr="00FD0D78">
              <w:rPr>
                <w:sz w:val="20"/>
              </w:rPr>
              <w:t>Organizations need layers of strategies in place to intercept the error before it reaches the patient or causes harm. One strategy to implement is a post-fill audit program to compare the actual prescription received from the prescriber to the computer-generated label within 24 hours of dispensing the medication. If you already have a post-fill audit program in place, consider expanding this program to include random checks of the will call bins to compare the label to the actual product/contents dispensed.</w:t>
            </w:r>
          </w:p>
        </w:tc>
        <w:tc>
          <w:tcPr>
            <w:tcW w:w="2880" w:type="dxa"/>
            <w:tcBorders>
              <w:top w:val="single" w:sz="6" w:space="0" w:color="0D4D9E"/>
              <w:bottom w:val="single" w:sz="6" w:space="0" w:color="0D4D9E"/>
            </w:tcBorders>
            <w:shd w:val="clear" w:color="auto" w:fill="FFFFFF"/>
          </w:tcPr>
          <w:p w14:paraId="2B0D8ADD" w14:textId="77777777" w:rsidR="00954EA6" w:rsidRPr="00C02132" w:rsidRDefault="00954EA6" w:rsidP="00B36686">
            <w:pPr>
              <w:pStyle w:val="Acutecare-new-agenda-hed"/>
              <w:tabs>
                <w:tab w:val="clear" w:pos="5735"/>
                <w:tab w:val="clear" w:pos="7906"/>
                <w:tab w:val="clear" w:pos="10080"/>
              </w:tabs>
            </w:pPr>
          </w:p>
        </w:tc>
        <w:tc>
          <w:tcPr>
            <w:tcW w:w="2880" w:type="dxa"/>
            <w:tcBorders>
              <w:top w:val="single" w:sz="6" w:space="0" w:color="0D4D9E"/>
              <w:bottom w:val="single" w:sz="6" w:space="0" w:color="0D4D9E"/>
            </w:tcBorders>
            <w:shd w:val="clear" w:color="auto" w:fill="FFFFFF"/>
          </w:tcPr>
          <w:p w14:paraId="4194FF9A" w14:textId="77777777" w:rsidR="00954EA6" w:rsidRPr="00C02132" w:rsidRDefault="00954EA6" w:rsidP="00B36686">
            <w:pPr>
              <w:pStyle w:val="Acutecare-new-agenda-hed"/>
              <w:tabs>
                <w:tab w:val="clear" w:pos="5735"/>
                <w:tab w:val="clear" w:pos="7906"/>
                <w:tab w:val="clear" w:pos="10080"/>
              </w:tabs>
            </w:pPr>
          </w:p>
        </w:tc>
        <w:tc>
          <w:tcPr>
            <w:tcW w:w="980" w:type="dxa"/>
            <w:tcBorders>
              <w:top w:val="single" w:sz="6" w:space="0" w:color="0D4D9E"/>
              <w:bottom w:val="single" w:sz="6" w:space="0" w:color="0D4D9E"/>
            </w:tcBorders>
            <w:shd w:val="clear" w:color="auto" w:fill="FFFFFF"/>
          </w:tcPr>
          <w:p w14:paraId="0C1E7D15" w14:textId="77777777" w:rsidR="00954EA6" w:rsidRPr="00C02132" w:rsidRDefault="00954EA6" w:rsidP="00B36686">
            <w:pPr>
              <w:pStyle w:val="Acutecare-new-agenda-hed"/>
              <w:tabs>
                <w:tab w:val="clear" w:pos="5735"/>
                <w:tab w:val="clear" w:pos="7906"/>
                <w:tab w:val="clear" w:pos="10080"/>
              </w:tabs>
            </w:pPr>
          </w:p>
        </w:tc>
      </w:tr>
      <w:tr w:rsidR="0063613F" w:rsidRPr="00C02132" w14:paraId="5227B233" w14:textId="77777777" w:rsidTr="005F5E78">
        <w:trPr>
          <w:jc w:val="center"/>
        </w:trPr>
        <w:tc>
          <w:tcPr>
            <w:tcW w:w="3888" w:type="dxa"/>
            <w:gridSpan w:val="6"/>
            <w:tcBorders>
              <w:top w:val="single" w:sz="6" w:space="0" w:color="0D4D9E"/>
              <w:bottom w:val="single" w:sz="6" w:space="0" w:color="0D4D9E"/>
            </w:tcBorders>
            <w:shd w:val="clear" w:color="auto" w:fill="BBCEEB"/>
          </w:tcPr>
          <w:p w14:paraId="1358D673" w14:textId="77777777" w:rsidR="0063613F" w:rsidRPr="0063493C" w:rsidRDefault="005C307A" w:rsidP="0063493C">
            <w:pPr>
              <w:pStyle w:val="Acutecare-new-agenda-hed"/>
              <w:jc w:val="center"/>
              <w:rPr>
                <w:bCs/>
              </w:rPr>
            </w:pPr>
            <w:r>
              <w:rPr>
                <w:bCs/>
              </w:rPr>
              <w:lastRenderedPageBreak/>
              <w:t xml:space="preserve"> </w:t>
            </w:r>
            <w:r w:rsidR="00DB0CB7" w:rsidRPr="008F4409">
              <w:t>Managing the drug shortage crisis</w:t>
            </w:r>
          </w:p>
        </w:tc>
      </w:tr>
      <w:tr w:rsidR="00954EA6" w:rsidRPr="00C02132" w14:paraId="75BCB0E7" w14:textId="77777777" w:rsidTr="005F5E78">
        <w:trPr>
          <w:jc w:val="center"/>
        </w:trPr>
        <w:tc>
          <w:tcPr>
            <w:tcW w:w="792" w:type="dxa"/>
            <w:tcBorders>
              <w:top w:val="single" w:sz="6" w:space="0" w:color="0D4D9E"/>
              <w:bottom w:val="single" w:sz="6" w:space="0" w:color="0D4D9E"/>
            </w:tcBorders>
            <w:shd w:val="clear" w:color="auto" w:fill="F0EBD3"/>
          </w:tcPr>
          <w:p w14:paraId="57EC1FC0" w14:textId="77777777" w:rsidR="00954EA6" w:rsidRPr="008F4409" w:rsidRDefault="00954EA6" w:rsidP="00FD68FA">
            <w:pPr>
              <w:pStyle w:val="agenda-BODY"/>
            </w:pPr>
            <w:r w:rsidRPr="008F4409">
              <w:t>07/18</w:t>
            </w:r>
          </w:p>
        </w:tc>
        <w:tc>
          <w:tcPr>
            <w:tcW w:w="3600" w:type="dxa"/>
            <w:tcBorders>
              <w:top w:val="single" w:sz="6" w:space="0" w:color="0D4D9E"/>
              <w:bottom w:val="single" w:sz="6" w:space="0" w:color="0D4D9E"/>
            </w:tcBorders>
            <w:shd w:val="clear" w:color="auto" w:fill="FFF3D6"/>
          </w:tcPr>
          <w:p w14:paraId="228E1341" w14:textId="429042BB" w:rsidR="000062C2" w:rsidRPr="005F5E78" w:rsidRDefault="00954EA6" w:rsidP="00FD68FA">
            <w:pPr>
              <w:pStyle w:val="agenda-BODY"/>
              <w:rPr>
                <w:sz w:val="20"/>
              </w:rPr>
            </w:pPr>
            <w:r w:rsidRPr="00FD0D78">
              <w:rPr>
                <w:sz w:val="20"/>
              </w:rPr>
              <w:t xml:space="preserve">Many practitioners feel frustrated with the current state of drug shortages. Drug shortages are causing the use of less desirable, more expensive, or unfamiliar alternative drugs; errors and poor patient outcomes due to absent or delayed treatment; and preventable adverse drug events due to use of alternative drugs or dosage forms. Additionally, lack of </w:t>
            </w:r>
            <w:proofErr w:type="gramStart"/>
            <w:r w:rsidRPr="00FD0D78">
              <w:rPr>
                <w:sz w:val="20"/>
              </w:rPr>
              <w:t>advance notice</w:t>
            </w:r>
            <w:proofErr w:type="gramEnd"/>
            <w:r w:rsidRPr="00FD0D78">
              <w:rPr>
                <w:sz w:val="20"/>
              </w:rPr>
              <w:t xml:space="preserve"> reduces ability to properly prepare for an impending shortage.</w:t>
            </w:r>
          </w:p>
        </w:tc>
        <w:tc>
          <w:tcPr>
            <w:tcW w:w="3888" w:type="dxa"/>
            <w:tcBorders>
              <w:top w:val="single" w:sz="6" w:space="0" w:color="0D4D9E"/>
              <w:bottom w:val="single" w:sz="6" w:space="0" w:color="0D4D9E"/>
            </w:tcBorders>
            <w:shd w:val="clear" w:color="auto" w:fill="F0EBD3"/>
          </w:tcPr>
          <w:p w14:paraId="3F856E1E" w14:textId="77777777" w:rsidR="00FD0D78" w:rsidRPr="00FD0D78" w:rsidRDefault="00954EA6" w:rsidP="007C176B">
            <w:pPr>
              <w:pStyle w:val="agenda-BODY"/>
              <w:rPr>
                <w:sz w:val="20"/>
              </w:rPr>
            </w:pPr>
            <w:r w:rsidRPr="00FD0D78">
              <w:rPr>
                <w:sz w:val="20"/>
              </w:rPr>
              <w:t xml:space="preserve">Assess, communicate, and monitor each drug shortage situation. Other strategies include: identify drug shortages early; assess inventory on hand; determine an organizational position on alternative suppliers; collaborate with other local healthcare providers; determine therapeutic alternatives; conduct a proactive failure mode and effects analysis (FMEA) for therapeutic alternatives; prioritize and limit drugs based on patient categories; closely monitor adverse events; and do not hoard the drug or its alternatives. </w:t>
            </w:r>
          </w:p>
        </w:tc>
        <w:tc>
          <w:tcPr>
            <w:tcW w:w="2880" w:type="dxa"/>
            <w:tcBorders>
              <w:top w:val="single" w:sz="6" w:space="0" w:color="0D4D9E"/>
              <w:bottom w:val="single" w:sz="6" w:space="0" w:color="0D4D9E"/>
            </w:tcBorders>
            <w:shd w:val="clear" w:color="auto" w:fill="FFFFFF"/>
          </w:tcPr>
          <w:p w14:paraId="7CDE5601" w14:textId="77777777" w:rsidR="00954EA6" w:rsidRPr="00C02132" w:rsidRDefault="00954EA6" w:rsidP="00B36686">
            <w:pPr>
              <w:pStyle w:val="Acutecare-new-agenda-hed"/>
              <w:tabs>
                <w:tab w:val="clear" w:pos="5735"/>
                <w:tab w:val="clear" w:pos="7906"/>
                <w:tab w:val="clear" w:pos="10080"/>
              </w:tabs>
            </w:pPr>
          </w:p>
        </w:tc>
        <w:tc>
          <w:tcPr>
            <w:tcW w:w="2880" w:type="dxa"/>
            <w:tcBorders>
              <w:top w:val="single" w:sz="6" w:space="0" w:color="0D4D9E"/>
              <w:bottom w:val="single" w:sz="6" w:space="0" w:color="0D4D9E"/>
            </w:tcBorders>
            <w:shd w:val="clear" w:color="auto" w:fill="FFFFFF"/>
          </w:tcPr>
          <w:p w14:paraId="78964DC9" w14:textId="77777777" w:rsidR="00954EA6" w:rsidRPr="00C02132" w:rsidRDefault="00954EA6" w:rsidP="00B36686">
            <w:pPr>
              <w:pStyle w:val="Acutecare-new-agenda-hed"/>
              <w:tabs>
                <w:tab w:val="clear" w:pos="5735"/>
                <w:tab w:val="clear" w:pos="7906"/>
                <w:tab w:val="clear" w:pos="10080"/>
              </w:tabs>
            </w:pPr>
          </w:p>
        </w:tc>
        <w:tc>
          <w:tcPr>
            <w:tcW w:w="980" w:type="dxa"/>
            <w:tcBorders>
              <w:top w:val="single" w:sz="6" w:space="0" w:color="0D4D9E"/>
              <w:bottom w:val="single" w:sz="6" w:space="0" w:color="0D4D9E"/>
            </w:tcBorders>
            <w:shd w:val="clear" w:color="auto" w:fill="FFFFFF"/>
          </w:tcPr>
          <w:p w14:paraId="393307BD" w14:textId="77777777" w:rsidR="00954EA6" w:rsidRPr="00C02132" w:rsidRDefault="00954EA6" w:rsidP="00B36686">
            <w:pPr>
              <w:pStyle w:val="Acutecare-new-agenda-hed"/>
              <w:tabs>
                <w:tab w:val="clear" w:pos="5735"/>
                <w:tab w:val="clear" w:pos="7906"/>
                <w:tab w:val="clear" w:pos="10080"/>
              </w:tabs>
            </w:pPr>
          </w:p>
        </w:tc>
      </w:tr>
      <w:tr w:rsidR="00DB7740" w:rsidRPr="00C02132" w14:paraId="1AC5BA26" w14:textId="77777777" w:rsidTr="005F5E78">
        <w:trPr>
          <w:jc w:val="center"/>
        </w:trPr>
        <w:tc>
          <w:tcPr>
            <w:tcW w:w="3888" w:type="dxa"/>
            <w:gridSpan w:val="6"/>
            <w:tcBorders>
              <w:top w:val="single" w:sz="6" w:space="0" w:color="0D4D9E"/>
              <w:bottom w:val="single" w:sz="6" w:space="0" w:color="0D4D9E"/>
            </w:tcBorders>
            <w:shd w:val="clear" w:color="auto" w:fill="BBCEEB"/>
          </w:tcPr>
          <w:p w14:paraId="62DB868D" w14:textId="77777777" w:rsidR="00DB7740" w:rsidRPr="00562B2F" w:rsidRDefault="000261E7" w:rsidP="00562B2F">
            <w:pPr>
              <w:pStyle w:val="Acutecare-new-agenda-hed"/>
              <w:jc w:val="center"/>
              <w:rPr>
                <w:bCs/>
              </w:rPr>
            </w:pPr>
            <w:r w:rsidRPr="008F4409">
              <w:t>Safeguards needed when linking or copying old prescriptions to new prescriptions</w:t>
            </w:r>
            <w:r w:rsidR="005C307A">
              <w:rPr>
                <w:bCs/>
              </w:rPr>
              <w:t xml:space="preserve"> </w:t>
            </w:r>
          </w:p>
        </w:tc>
      </w:tr>
      <w:tr w:rsidR="00814822" w:rsidRPr="00C02132" w14:paraId="744C4164" w14:textId="77777777" w:rsidTr="005F5E78">
        <w:trPr>
          <w:jc w:val="center"/>
        </w:trPr>
        <w:tc>
          <w:tcPr>
            <w:tcW w:w="792" w:type="dxa"/>
            <w:tcBorders>
              <w:top w:val="single" w:sz="6" w:space="0" w:color="0D4D9E"/>
              <w:bottom w:val="single" w:sz="6" w:space="0" w:color="0D4D9E"/>
            </w:tcBorders>
            <w:shd w:val="clear" w:color="auto" w:fill="F0EBD3"/>
          </w:tcPr>
          <w:p w14:paraId="2E82FF00" w14:textId="77777777" w:rsidR="00814822" w:rsidRPr="008F4409" w:rsidRDefault="00814822" w:rsidP="00FD68FA">
            <w:pPr>
              <w:pStyle w:val="agenda-BODY"/>
            </w:pPr>
            <w:r w:rsidRPr="008F4409">
              <w:t>07/18</w:t>
            </w:r>
          </w:p>
        </w:tc>
        <w:tc>
          <w:tcPr>
            <w:tcW w:w="3600" w:type="dxa"/>
            <w:tcBorders>
              <w:top w:val="single" w:sz="6" w:space="0" w:color="0D4D9E"/>
              <w:bottom w:val="single" w:sz="6" w:space="0" w:color="0D4D9E"/>
            </w:tcBorders>
            <w:shd w:val="clear" w:color="auto" w:fill="FFF3D6"/>
          </w:tcPr>
          <w:p w14:paraId="50457725" w14:textId="2365A45C" w:rsidR="000062C2" w:rsidRPr="005F5E78" w:rsidRDefault="00814822" w:rsidP="00FD68FA">
            <w:pPr>
              <w:pStyle w:val="agenda-BODY"/>
              <w:rPr>
                <w:sz w:val="20"/>
              </w:rPr>
            </w:pPr>
            <w:r w:rsidRPr="00FD0D78">
              <w:rPr>
                <w:sz w:val="20"/>
              </w:rPr>
              <w:t xml:space="preserve">When copying a prescription for </w:t>
            </w:r>
            <w:r w:rsidRPr="00FD0D78">
              <w:rPr>
                <w:b/>
                <w:sz w:val="20"/>
              </w:rPr>
              <w:t>ADDERRALL XR</w:t>
            </w:r>
            <w:r w:rsidRPr="00FD0D78">
              <w:rPr>
                <w:sz w:val="20"/>
              </w:rPr>
              <w:t xml:space="preserve"> (dextroamphetamine sulfate, dextroamphetamine saccharate, amphetamine sulfate and amphetamine aspartate), the pharmacist did not notice that the dose was changed from 20 mg to 10</w:t>
            </w:r>
            <w:r w:rsidRPr="00FD0D78">
              <w:rPr>
                <w:rFonts w:ascii="Arial" w:hAnsi="Arial" w:cs="Arial"/>
                <w:sz w:val="20"/>
              </w:rPr>
              <w:t> </w:t>
            </w:r>
            <w:r w:rsidRPr="00FD0D78">
              <w:rPr>
                <w:sz w:val="20"/>
              </w:rPr>
              <w:t>mg. The prescription was filled with 20</w:t>
            </w:r>
            <w:r w:rsidRPr="00FD0D78">
              <w:rPr>
                <w:rFonts w:ascii="Arial" w:hAnsi="Arial" w:cs="Arial"/>
                <w:sz w:val="20"/>
              </w:rPr>
              <w:t> </w:t>
            </w:r>
            <w:r w:rsidRPr="00FD0D78">
              <w:rPr>
                <w:sz w:val="20"/>
              </w:rPr>
              <w:t>mg capsules and dispensed to the patient. One factor contributing to this error was the computer system’s functionality that allows the person conducting order entry to copy or link to a previous prescription for the same drug.</w:t>
            </w:r>
          </w:p>
        </w:tc>
        <w:tc>
          <w:tcPr>
            <w:tcW w:w="3888" w:type="dxa"/>
            <w:tcBorders>
              <w:top w:val="single" w:sz="6" w:space="0" w:color="0D4D9E"/>
              <w:bottom w:val="single" w:sz="6" w:space="0" w:color="0D4D9E"/>
            </w:tcBorders>
            <w:shd w:val="clear" w:color="auto" w:fill="F0EBD3"/>
          </w:tcPr>
          <w:p w14:paraId="13F894E5" w14:textId="150126C8" w:rsidR="00FD0D78" w:rsidRPr="00FD0D78" w:rsidRDefault="00814822" w:rsidP="007C176B">
            <w:pPr>
              <w:pStyle w:val="agenda-BODY"/>
              <w:rPr>
                <w:sz w:val="20"/>
              </w:rPr>
            </w:pPr>
            <w:r w:rsidRPr="00FD0D78">
              <w:rPr>
                <w:sz w:val="20"/>
              </w:rPr>
              <w:t>Evaluate if the efficiency gains of this functionality outweigh the safety risks. If used, review the workflow and prompts when copying or linking to old prescriptions. Design computer systems to guide the person to verify that each piece of information on the new prescription matches the one already on the patient’s profile. Conduct a double check of the order entry by comparing the prescription information entered into the computer system to that contained on the original prescription. If the original prescription is placed on hold, this same verification should occur again when the prescription is eventually dispensed.</w:t>
            </w:r>
          </w:p>
        </w:tc>
        <w:tc>
          <w:tcPr>
            <w:tcW w:w="2880" w:type="dxa"/>
            <w:tcBorders>
              <w:top w:val="single" w:sz="6" w:space="0" w:color="0D4D9E"/>
              <w:bottom w:val="single" w:sz="6" w:space="0" w:color="0D4D9E"/>
            </w:tcBorders>
            <w:shd w:val="clear" w:color="auto" w:fill="FFFFFF"/>
          </w:tcPr>
          <w:p w14:paraId="4274CF7C" w14:textId="77777777" w:rsidR="00814822" w:rsidRPr="00C02132" w:rsidRDefault="00814822" w:rsidP="00B36686">
            <w:pPr>
              <w:pStyle w:val="Acutecare-new-agenda-hed"/>
              <w:tabs>
                <w:tab w:val="clear" w:pos="5735"/>
                <w:tab w:val="clear" w:pos="7906"/>
                <w:tab w:val="clear" w:pos="10080"/>
              </w:tabs>
            </w:pPr>
          </w:p>
        </w:tc>
        <w:tc>
          <w:tcPr>
            <w:tcW w:w="2880" w:type="dxa"/>
            <w:tcBorders>
              <w:top w:val="single" w:sz="6" w:space="0" w:color="0D4D9E"/>
              <w:bottom w:val="single" w:sz="6" w:space="0" w:color="0D4D9E"/>
            </w:tcBorders>
            <w:shd w:val="clear" w:color="auto" w:fill="FFFFFF"/>
          </w:tcPr>
          <w:p w14:paraId="1648AE07" w14:textId="77777777" w:rsidR="00814822" w:rsidRPr="00C02132" w:rsidRDefault="00814822" w:rsidP="00B36686">
            <w:pPr>
              <w:pStyle w:val="Acutecare-new-agenda-hed"/>
              <w:tabs>
                <w:tab w:val="clear" w:pos="5735"/>
                <w:tab w:val="clear" w:pos="7906"/>
                <w:tab w:val="clear" w:pos="10080"/>
              </w:tabs>
            </w:pPr>
          </w:p>
        </w:tc>
        <w:tc>
          <w:tcPr>
            <w:tcW w:w="980" w:type="dxa"/>
            <w:tcBorders>
              <w:top w:val="single" w:sz="6" w:space="0" w:color="0D4D9E"/>
              <w:bottom w:val="single" w:sz="6" w:space="0" w:color="0D4D9E"/>
            </w:tcBorders>
            <w:shd w:val="clear" w:color="auto" w:fill="FFFFFF"/>
          </w:tcPr>
          <w:p w14:paraId="7D48FE2F" w14:textId="77777777" w:rsidR="00814822" w:rsidRPr="00C02132" w:rsidRDefault="00814822" w:rsidP="00B36686">
            <w:pPr>
              <w:pStyle w:val="Acutecare-new-agenda-hed"/>
              <w:tabs>
                <w:tab w:val="clear" w:pos="5735"/>
                <w:tab w:val="clear" w:pos="7906"/>
                <w:tab w:val="clear" w:pos="10080"/>
              </w:tabs>
            </w:pPr>
          </w:p>
        </w:tc>
      </w:tr>
      <w:tr w:rsidR="00814822" w:rsidRPr="00C02132" w14:paraId="326DF7BF" w14:textId="77777777" w:rsidTr="005F5E78">
        <w:trPr>
          <w:jc w:val="center"/>
        </w:trPr>
        <w:tc>
          <w:tcPr>
            <w:tcW w:w="3888" w:type="dxa"/>
            <w:gridSpan w:val="6"/>
            <w:tcBorders>
              <w:top w:val="single" w:sz="6" w:space="0" w:color="0D4D9E"/>
              <w:bottom w:val="single" w:sz="6" w:space="0" w:color="0D4D9E"/>
            </w:tcBorders>
            <w:shd w:val="clear" w:color="auto" w:fill="BBCEEB"/>
          </w:tcPr>
          <w:p w14:paraId="2C757DF5" w14:textId="77777777" w:rsidR="00814822" w:rsidRPr="002228A3" w:rsidRDefault="0012462A" w:rsidP="002228A3">
            <w:pPr>
              <w:pStyle w:val="Acutecare-new-agenda-hed"/>
              <w:jc w:val="center"/>
              <w:rPr>
                <w:bCs/>
              </w:rPr>
            </w:pPr>
            <w:r w:rsidRPr="008F4409">
              <w:t xml:space="preserve">Educate fluorouracil home infusion patients about accidental </w:t>
            </w:r>
            <w:proofErr w:type="spellStart"/>
            <w:r w:rsidRPr="008F4409">
              <w:t>overinfusion</w:t>
            </w:r>
            <w:proofErr w:type="spellEnd"/>
          </w:p>
        </w:tc>
      </w:tr>
      <w:tr w:rsidR="0012462A" w:rsidRPr="00C02132" w14:paraId="6B080D33" w14:textId="77777777" w:rsidTr="005F5E78">
        <w:trPr>
          <w:jc w:val="center"/>
        </w:trPr>
        <w:tc>
          <w:tcPr>
            <w:tcW w:w="792" w:type="dxa"/>
            <w:tcBorders>
              <w:top w:val="single" w:sz="6" w:space="0" w:color="0D4D9E"/>
              <w:bottom w:val="single" w:sz="6" w:space="0" w:color="0D4D9E"/>
            </w:tcBorders>
            <w:shd w:val="clear" w:color="auto" w:fill="F0EBD3"/>
          </w:tcPr>
          <w:p w14:paraId="3FC628C3" w14:textId="77777777" w:rsidR="000062C2" w:rsidRDefault="0012462A" w:rsidP="000062C2">
            <w:pPr>
              <w:pStyle w:val="agenda-BODY"/>
              <w:rPr>
                <w:rFonts w:eastAsia="Univers LT Std 47 Cn Lt"/>
                <w:w w:val="110"/>
              </w:rPr>
            </w:pPr>
            <w:r w:rsidRPr="008F4409">
              <w:t>07/18</w:t>
            </w:r>
          </w:p>
          <w:p w14:paraId="30169A88" w14:textId="77777777" w:rsidR="0012462A" w:rsidRPr="008F4409" w:rsidRDefault="000062C2" w:rsidP="000062C2">
            <w:pPr>
              <w:pStyle w:val="agenda-BODY"/>
            </w:pPr>
            <w:r>
              <w:rPr>
                <w:rFonts w:eastAsia="Akzidenz Grotesk BE Cn"/>
                <w:noProof/>
              </w:rPr>
              <w:drawing>
                <wp:inline distT="0" distB="0" distL="0" distR="0" wp14:anchorId="3D5812BE" wp14:editId="76D3E40D">
                  <wp:extent cx="167005" cy="127000"/>
                  <wp:effectExtent l="0" t="0" r="4445" b="6350"/>
                  <wp:docPr id="2" name="Picture 2" descr="agenda safety icon-al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genda safety icon-aler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7005" cy="127000"/>
                          </a:xfrm>
                          <a:prstGeom prst="rect">
                            <a:avLst/>
                          </a:prstGeom>
                          <a:noFill/>
                          <a:ln>
                            <a:noFill/>
                          </a:ln>
                        </pic:spPr>
                      </pic:pic>
                    </a:graphicData>
                  </a:graphic>
                </wp:inline>
              </w:drawing>
            </w:r>
          </w:p>
        </w:tc>
        <w:tc>
          <w:tcPr>
            <w:tcW w:w="3600" w:type="dxa"/>
            <w:tcBorders>
              <w:top w:val="single" w:sz="6" w:space="0" w:color="0D4D9E"/>
              <w:bottom w:val="single" w:sz="6" w:space="0" w:color="0D4D9E"/>
            </w:tcBorders>
            <w:shd w:val="clear" w:color="auto" w:fill="FFF3D6"/>
          </w:tcPr>
          <w:p w14:paraId="390BA1B6" w14:textId="0EF8C3FE" w:rsidR="000062C2" w:rsidRPr="00264DC4" w:rsidRDefault="0012462A" w:rsidP="000062C2">
            <w:pPr>
              <w:pStyle w:val="agenda-BODY"/>
              <w:rPr>
                <w:sz w:val="20"/>
              </w:rPr>
            </w:pPr>
            <w:r w:rsidRPr="00FD0D78">
              <w:rPr>
                <w:sz w:val="20"/>
              </w:rPr>
              <w:t>A physician prescribed a 7-day continuous infusion of fluorouracil for a patient at home via an elastomeric infusion pump. The patient received the entire infusion in just 4 days but waited until his scheduled doctor’s appointment 4 days later to report the mishap. The patient experienced serious sequelae and was admitted to the hospital for 7 days</w:t>
            </w:r>
          </w:p>
        </w:tc>
        <w:tc>
          <w:tcPr>
            <w:tcW w:w="3888" w:type="dxa"/>
            <w:tcBorders>
              <w:top w:val="single" w:sz="6" w:space="0" w:color="0D4D9E"/>
              <w:bottom w:val="single" w:sz="6" w:space="0" w:color="0D4D9E"/>
            </w:tcBorders>
            <w:shd w:val="clear" w:color="auto" w:fill="F0EBD3"/>
          </w:tcPr>
          <w:p w14:paraId="0E4790AC" w14:textId="77777777" w:rsidR="0012462A" w:rsidRPr="00FD0D78" w:rsidRDefault="0012462A" w:rsidP="007C176B">
            <w:pPr>
              <w:pStyle w:val="agenda-BODY"/>
              <w:rPr>
                <w:sz w:val="20"/>
              </w:rPr>
            </w:pPr>
            <w:r w:rsidRPr="00FD0D78">
              <w:rPr>
                <w:sz w:val="20"/>
              </w:rPr>
              <w:t>Educate patients with ambulatory infusion pumps about how the pump works, what to expect during treatment, the infusion rate, how long the infusion should last, how much should be left in the container each day, and to immediately report any incident to their care team should the container empty sooner than anticipated so an antidote can be administered.</w:t>
            </w:r>
          </w:p>
        </w:tc>
        <w:tc>
          <w:tcPr>
            <w:tcW w:w="2880" w:type="dxa"/>
            <w:tcBorders>
              <w:top w:val="single" w:sz="6" w:space="0" w:color="0D4D9E"/>
              <w:bottom w:val="single" w:sz="6" w:space="0" w:color="0D4D9E"/>
            </w:tcBorders>
            <w:shd w:val="clear" w:color="auto" w:fill="FFFFFF"/>
          </w:tcPr>
          <w:p w14:paraId="6A85C9E2" w14:textId="77777777" w:rsidR="0012462A" w:rsidRPr="00C02132" w:rsidRDefault="0012462A" w:rsidP="00B36686">
            <w:pPr>
              <w:pStyle w:val="Acutecare-new-agenda-hed"/>
              <w:tabs>
                <w:tab w:val="clear" w:pos="5735"/>
                <w:tab w:val="clear" w:pos="7906"/>
                <w:tab w:val="clear" w:pos="10080"/>
              </w:tabs>
            </w:pPr>
          </w:p>
        </w:tc>
        <w:tc>
          <w:tcPr>
            <w:tcW w:w="2880" w:type="dxa"/>
            <w:tcBorders>
              <w:top w:val="single" w:sz="6" w:space="0" w:color="0D4D9E"/>
              <w:bottom w:val="single" w:sz="6" w:space="0" w:color="0D4D9E"/>
            </w:tcBorders>
            <w:shd w:val="clear" w:color="auto" w:fill="FFFFFF"/>
          </w:tcPr>
          <w:p w14:paraId="299ED42C" w14:textId="77777777" w:rsidR="0012462A" w:rsidRPr="00C02132" w:rsidRDefault="0012462A" w:rsidP="00B36686">
            <w:pPr>
              <w:pStyle w:val="Acutecare-new-agenda-hed"/>
              <w:tabs>
                <w:tab w:val="clear" w:pos="5735"/>
                <w:tab w:val="clear" w:pos="7906"/>
                <w:tab w:val="clear" w:pos="10080"/>
              </w:tabs>
            </w:pPr>
          </w:p>
        </w:tc>
        <w:tc>
          <w:tcPr>
            <w:tcW w:w="980" w:type="dxa"/>
            <w:tcBorders>
              <w:top w:val="single" w:sz="6" w:space="0" w:color="0D4D9E"/>
              <w:bottom w:val="single" w:sz="6" w:space="0" w:color="0D4D9E"/>
            </w:tcBorders>
            <w:shd w:val="clear" w:color="auto" w:fill="FFFFFF"/>
          </w:tcPr>
          <w:p w14:paraId="4D3E5322" w14:textId="77777777" w:rsidR="0012462A" w:rsidRPr="00C02132" w:rsidRDefault="0012462A" w:rsidP="00B36686">
            <w:pPr>
              <w:pStyle w:val="Acutecare-new-agenda-hed"/>
              <w:tabs>
                <w:tab w:val="clear" w:pos="5735"/>
                <w:tab w:val="clear" w:pos="7906"/>
                <w:tab w:val="clear" w:pos="10080"/>
              </w:tabs>
            </w:pPr>
          </w:p>
        </w:tc>
      </w:tr>
    </w:tbl>
    <w:p w14:paraId="2EEF532B" w14:textId="77777777" w:rsidR="00ED7DDF" w:rsidRPr="000062C2" w:rsidRDefault="00ED7DDF" w:rsidP="005D66E0">
      <w:pPr>
        <w:rPr>
          <w:sz w:val="2"/>
          <w:szCs w:val="2"/>
        </w:rPr>
      </w:pPr>
    </w:p>
    <w:sectPr w:rsidR="00ED7DDF" w:rsidRPr="000062C2" w:rsidSect="00E15A70">
      <w:headerReference w:type="default" r:id="rId11"/>
      <w:footerReference w:type="default" r:id="rId12"/>
      <w:headerReference w:type="first" r:id="rId13"/>
      <w:footerReference w:type="first" r:id="rId14"/>
      <w:pgSz w:w="15840" w:h="12240" w:orient="landscape" w:code="1"/>
      <w:pgMar w:top="1008" w:right="1008" w:bottom="576" w:left="1008" w:header="432" w:footer="0" w:gutter="0"/>
      <w:cols w:space="720"/>
      <w:vAlign w:val="center"/>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526C29F" w14:textId="77777777" w:rsidR="00843A64" w:rsidRDefault="00843A64">
      <w:r>
        <w:separator/>
      </w:r>
    </w:p>
  </w:endnote>
  <w:endnote w:type="continuationSeparator" w:id="0">
    <w:p w14:paraId="4364E74F" w14:textId="77777777" w:rsidR="00843A64" w:rsidRDefault="00843A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Univers LT Std 57 Cn">
    <w:panose1 w:val="020B0506020202050204"/>
    <w:charset w:val="00"/>
    <w:family w:val="swiss"/>
    <w:notTrueType/>
    <w:pitch w:val="variable"/>
    <w:sig w:usb0="00000003" w:usb1="00000000" w:usb2="00000000" w:usb3="00000000" w:csb0="00000001" w:csb1="00000000"/>
  </w:font>
  <w:font w:name="Akzidenz Grotesk BE Cn">
    <w:panose1 w:val="00000000000000000000"/>
    <w:charset w:val="00"/>
    <w:family w:val="swiss"/>
    <w:notTrueType/>
    <w:pitch w:val="variable"/>
    <w:sig w:usb0="00000003" w:usb1="00000000" w:usb2="00000000" w:usb3="00000000" w:csb0="00000001" w:csb1="00000000"/>
  </w:font>
  <w:font w:name="Akzidenz Grotesk BE BoldEx">
    <w:panose1 w:val="00000000000000000000"/>
    <w:charset w:val="00"/>
    <w:family w:val="swiss"/>
    <w:notTrueType/>
    <w:pitch w:val="variable"/>
    <w:sig w:usb0="00000003" w:usb1="00000000" w:usb2="00000000" w:usb3="00000000" w:csb0="00000001" w:csb1="00000000"/>
  </w:font>
  <w:font w:name="Akzidenz Grotesk BE Light">
    <w:panose1 w:val="00000000000000000000"/>
    <w:charset w:val="00"/>
    <w:family w:val="swiss"/>
    <w:notTrueType/>
    <w:pitch w:val="variable"/>
    <w:sig w:usb0="00000003" w:usb1="00000000" w:usb2="00000000" w:usb3="00000000" w:csb0="00000001" w:csb1="00000000"/>
  </w:font>
  <w:font w:name="Univers LT Std 47 Cn Lt">
    <w:panose1 w:val="020B040602020204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Univers LT Std 55">
    <w:panose1 w:val="020B0603020202020204"/>
    <w:charset w:val="00"/>
    <w:family w:val="swiss"/>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Univers LT Std 45 Light">
    <w:panose1 w:val="020B0403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7A51FD" w14:textId="77777777" w:rsidR="00571FC0" w:rsidRPr="000C417B" w:rsidRDefault="00571FC0" w:rsidP="00F52484">
    <w:pPr>
      <w:pStyle w:val="hosp-volume-no"/>
      <w:rPr>
        <w:color w:val="000000"/>
      </w:rPr>
    </w:pPr>
  </w:p>
  <w:tbl>
    <w:tblPr>
      <w:tblW w:w="14760" w:type="dxa"/>
      <w:tblInd w:w="-252" w:type="dxa"/>
      <w:tblLook w:val="01E0" w:firstRow="1" w:lastRow="1" w:firstColumn="1" w:lastColumn="1" w:noHBand="0" w:noVBand="0"/>
    </w:tblPr>
    <w:tblGrid>
      <w:gridCol w:w="4644"/>
      <w:gridCol w:w="4392"/>
      <w:gridCol w:w="5724"/>
    </w:tblGrid>
    <w:tr w:rsidR="00571FC0" w:rsidRPr="00B8744A" w14:paraId="7EB4EBF2" w14:textId="77777777" w:rsidTr="00B36686">
      <w:tc>
        <w:tcPr>
          <w:tcW w:w="4644" w:type="dxa"/>
          <w:shd w:val="clear" w:color="auto" w:fill="auto"/>
        </w:tcPr>
        <w:p w14:paraId="46A81D7E" w14:textId="77777777" w:rsidR="00571FC0" w:rsidRPr="00B8744A" w:rsidRDefault="00A741DB" w:rsidP="002C57B7">
          <w:pPr>
            <w:pStyle w:val="hosp-volume-no"/>
            <w:jc w:val="left"/>
            <w:rPr>
              <w:rFonts w:ascii="Univers LT Std 57 Cn" w:hAnsi="Univers LT Std 57 Cn"/>
            </w:rPr>
          </w:pPr>
          <w:r w:rsidRPr="00B8744A">
            <w:rPr>
              <w:rFonts w:ascii="Univers LT Std 57 Cn" w:hAnsi="Univers LT Std 57 Cn"/>
              <w:color w:val="000000"/>
            </w:rPr>
            <w:t xml:space="preserve">September </w:t>
          </w:r>
          <w:r w:rsidR="002C57B7">
            <w:rPr>
              <w:rFonts w:ascii="Univers LT Std 57 Cn" w:hAnsi="Univers LT Std 57 Cn"/>
              <w:color w:val="000000"/>
            </w:rPr>
            <w:t>2018</w:t>
          </w:r>
        </w:p>
      </w:tc>
      <w:tc>
        <w:tcPr>
          <w:tcW w:w="4392" w:type="dxa"/>
          <w:shd w:val="clear" w:color="auto" w:fill="auto"/>
        </w:tcPr>
        <w:p w14:paraId="3A8048A9" w14:textId="77777777" w:rsidR="00571FC0" w:rsidRPr="00B8744A" w:rsidRDefault="00571FC0" w:rsidP="00B36686">
          <w:pPr>
            <w:jc w:val="center"/>
            <w:rPr>
              <w:rFonts w:ascii="Univers LT Std 57 Cn" w:hAnsi="Univers LT Std 57 Cn"/>
            </w:rPr>
          </w:pPr>
          <w:r w:rsidRPr="00B8744A">
            <w:rPr>
              <w:rFonts w:ascii="Univers LT Std 57 Cn" w:hAnsi="Univers LT Std 57 Cn"/>
              <w:position w:val="-1"/>
              <w:sz w:val="18"/>
            </w:rPr>
            <w:t xml:space="preserve">ISMP </w:t>
          </w:r>
          <w:proofErr w:type="spellStart"/>
          <w:r w:rsidRPr="00B8744A">
            <w:rPr>
              <w:rFonts w:ascii="Univers LT Std 57 Cn" w:hAnsi="Univers LT Std 57 Cn"/>
              <w:position w:val="-1"/>
              <w:sz w:val="18"/>
            </w:rPr>
            <w:t>Medication</w:t>
          </w:r>
          <w:r w:rsidRPr="00B8744A">
            <w:rPr>
              <w:rFonts w:ascii="Univers LT Std 57 Cn" w:hAnsi="Univers LT Std 57 Cn"/>
              <w:b/>
              <w:position w:val="-1"/>
              <w:sz w:val="18"/>
            </w:rPr>
            <w:t>Safety</w:t>
          </w:r>
          <w:r w:rsidRPr="00B8744A">
            <w:rPr>
              <w:rFonts w:ascii="Univers LT Std 57 Cn" w:hAnsi="Univers LT Std 57 Cn"/>
              <w:position w:val="-1"/>
              <w:sz w:val="18"/>
            </w:rPr>
            <w:t>Alert</w:t>
          </w:r>
          <w:proofErr w:type="spellEnd"/>
          <w:r w:rsidRPr="00B8744A">
            <w:rPr>
              <w:rFonts w:ascii="Univers LT Std 57 Cn" w:hAnsi="Univers LT Std 57 Cn"/>
              <w:position w:val="-1"/>
              <w:sz w:val="18"/>
            </w:rPr>
            <w:t>!</w:t>
          </w:r>
          <w:r w:rsidRPr="00B8744A">
            <w:rPr>
              <w:rStyle w:val="Normal1"/>
              <w:rFonts w:ascii="Symbol" w:hAnsi="Symbol"/>
              <w:sz w:val="12"/>
              <w:szCs w:val="12"/>
              <w:vertAlign w:val="superscript"/>
            </w:rPr>
            <w:t></w:t>
          </w:r>
          <w:r w:rsidRPr="00B8744A">
            <w:rPr>
              <w:rFonts w:ascii="Univers LT Std 57 Cn" w:hAnsi="Univers LT Std 57 Cn"/>
            </w:rPr>
            <w:cr/>
          </w:r>
          <w:r w:rsidRPr="00B8744A">
            <w:rPr>
              <w:rFonts w:ascii="Univers LT Std 57 Cn" w:hAnsi="Univers LT Std 57 Cn"/>
              <w:position w:val="-1"/>
              <w:sz w:val="18"/>
            </w:rPr>
            <w:t>Community/Ambulatory Care</w:t>
          </w:r>
        </w:p>
        <w:p w14:paraId="667045B9" w14:textId="77777777" w:rsidR="00571FC0" w:rsidRPr="00B8744A" w:rsidRDefault="00571FC0" w:rsidP="00B36686">
          <w:pPr>
            <w:pStyle w:val="hosp-volume-no"/>
            <w:jc w:val="right"/>
            <w:rPr>
              <w:rFonts w:ascii="Univers LT Std 57 Cn" w:hAnsi="Univers LT Std 57 Cn"/>
            </w:rPr>
          </w:pPr>
        </w:p>
      </w:tc>
      <w:tc>
        <w:tcPr>
          <w:tcW w:w="5724" w:type="dxa"/>
          <w:shd w:val="clear" w:color="auto" w:fill="auto"/>
        </w:tcPr>
        <w:p w14:paraId="7C2FAB3C" w14:textId="77777777" w:rsidR="00571FC0" w:rsidRPr="00B8744A" w:rsidRDefault="00B8744A" w:rsidP="00B36686">
          <w:pPr>
            <w:pStyle w:val="hosp-volume-no"/>
            <w:jc w:val="right"/>
            <w:rPr>
              <w:rStyle w:val="PageNumber"/>
              <w:rFonts w:ascii="Univers LT Std 57 Cn" w:hAnsi="Univers LT Std 57 Cn"/>
              <w:color w:val="000000"/>
              <w:szCs w:val="24"/>
            </w:rPr>
          </w:pPr>
          <w:r>
            <w:rPr>
              <w:rFonts w:ascii="Univers LT Std 57 Cn" w:hAnsi="Univers LT Std 57 Cn"/>
            </w:rPr>
            <w:t>AA</w:t>
          </w:r>
          <w:r w:rsidR="00571FC0" w:rsidRPr="00B8744A">
            <w:rPr>
              <w:rFonts w:ascii="Univers LT Std 57 Cn" w:hAnsi="Univers LT Std 57 Cn"/>
            </w:rPr>
            <w:t xml:space="preserve"> </w:t>
          </w:r>
          <w:r w:rsidR="00571FC0" w:rsidRPr="00B8744A">
            <w:rPr>
              <w:rStyle w:val="PageNumber"/>
              <w:rFonts w:ascii="Univers LT Std 57 Cn" w:hAnsi="Univers LT Std 57 Cn"/>
              <w:color w:val="000000"/>
              <w:szCs w:val="24"/>
            </w:rPr>
            <w:fldChar w:fldCharType="begin"/>
          </w:r>
          <w:r w:rsidR="00571FC0" w:rsidRPr="00B8744A">
            <w:rPr>
              <w:rStyle w:val="PageNumber"/>
              <w:rFonts w:ascii="Univers LT Std 57 Cn" w:hAnsi="Univers LT Std 57 Cn"/>
              <w:color w:val="000000"/>
              <w:szCs w:val="24"/>
            </w:rPr>
            <w:instrText xml:space="preserve"> PAGE </w:instrText>
          </w:r>
          <w:r w:rsidR="00571FC0" w:rsidRPr="00B8744A">
            <w:rPr>
              <w:rStyle w:val="PageNumber"/>
              <w:rFonts w:ascii="Univers LT Std 57 Cn" w:hAnsi="Univers LT Std 57 Cn"/>
              <w:color w:val="000000"/>
              <w:szCs w:val="24"/>
            </w:rPr>
            <w:fldChar w:fldCharType="separate"/>
          </w:r>
          <w:r w:rsidR="002C57B7">
            <w:rPr>
              <w:rStyle w:val="PageNumber"/>
              <w:rFonts w:ascii="Univers LT Std 57 Cn" w:hAnsi="Univers LT Std 57 Cn"/>
              <w:noProof/>
              <w:color w:val="000000"/>
              <w:szCs w:val="24"/>
            </w:rPr>
            <w:t>3</w:t>
          </w:r>
          <w:r w:rsidR="00571FC0" w:rsidRPr="00B8744A">
            <w:rPr>
              <w:rStyle w:val="PageNumber"/>
              <w:rFonts w:ascii="Univers LT Std 57 Cn" w:hAnsi="Univers LT Std 57 Cn"/>
              <w:color w:val="000000"/>
              <w:szCs w:val="24"/>
            </w:rPr>
            <w:fldChar w:fldCharType="end"/>
          </w:r>
        </w:p>
        <w:p w14:paraId="4BC9259E" w14:textId="77777777" w:rsidR="00571FC0" w:rsidRPr="00B8744A" w:rsidRDefault="00571FC0" w:rsidP="00B36686">
          <w:pPr>
            <w:pStyle w:val="hosp-volume-no"/>
            <w:jc w:val="right"/>
            <w:rPr>
              <w:rFonts w:ascii="Univers LT Std 57 Cn" w:hAnsi="Univers LT Std 57 Cn"/>
            </w:rPr>
          </w:pPr>
        </w:p>
      </w:tc>
    </w:tr>
  </w:tbl>
  <w:p w14:paraId="7DCCA30A" w14:textId="77777777" w:rsidR="00571FC0" w:rsidRPr="00B8744A" w:rsidRDefault="00571FC0" w:rsidP="00037545">
    <w:pPr>
      <w:pStyle w:val="Footer"/>
      <w:rPr>
        <w:rFonts w:ascii="Univers LT Std 57 Cn" w:hAnsi="Univers LT Std 57 Cn"/>
      </w:rPr>
    </w:pPr>
  </w:p>
  <w:p w14:paraId="2E97A7DA" w14:textId="77777777" w:rsidR="00571FC0" w:rsidRDefault="00571FC0"/>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45F333" w14:textId="77777777" w:rsidR="00571FC0" w:rsidRPr="00343F6F" w:rsidRDefault="00571FC0" w:rsidP="00DF38FA">
    <w:pPr>
      <w:pStyle w:val="Footer"/>
      <w:ind w:right="-180"/>
      <w:rPr>
        <w:rFonts w:ascii="Univers LT Std 57 Cn" w:hAnsi="Univers LT Std 57 Cn"/>
      </w:rPr>
    </w:pPr>
  </w:p>
  <w:tbl>
    <w:tblPr>
      <w:tblW w:w="14760" w:type="dxa"/>
      <w:tblInd w:w="-252" w:type="dxa"/>
      <w:tblLook w:val="01E0" w:firstRow="1" w:lastRow="1" w:firstColumn="1" w:lastColumn="1" w:noHBand="0" w:noVBand="0"/>
    </w:tblPr>
    <w:tblGrid>
      <w:gridCol w:w="4644"/>
      <w:gridCol w:w="4392"/>
      <w:gridCol w:w="5724"/>
    </w:tblGrid>
    <w:tr w:rsidR="00571FC0" w:rsidRPr="00343F6F" w14:paraId="0EB72272" w14:textId="77777777" w:rsidTr="00B36686">
      <w:tc>
        <w:tcPr>
          <w:tcW w:w="4644" w:type="dxa"/>
          <w:shd w:val="clear" w:color="auto" w:fill="auto"/>
        </w:tcPr>
        <w:p w14:paraId="228FE729" w14:textId="77777777" w:rsidR="00571FC0" w:rsidRPr="00343F6F" w:rsidRDefault="002C57B7" w:rsidP="005C307A">
          <w:pPr>
            <w:pStyle w:val="hosp-volume-no"/>
            <w:jc w:val="left"/>
            <w:rPr>
              <w:rFonts w:ascii="Univers LT Std 57 Cn" w:hAnsi="Univers LT Std 57 Cn"/>
            </w:rPr>
          </w:pPr>
          <w:r>
            <w:rPr>
              <w:rFonts w:ascii="Univers LT Std 57 Cn" w:hAnsi="Univers LT Std 57 Cn"/>
              <w:color w:val="000000"/>
            </w:rPr>
            <w:t>September</w:t>
          </w:r>
          <w:r w:rsidR="005C307A" w:rsidRPr="00343F6F">
            <w:rPr>
              <w:rFonts w:ascii="Univers LT Std 57 Cn" w:hAnsi="Univers LT Std 57 Cn"/>
              <w:color w:val="000000"/>
            </w:rPr>
            <w:t xml:space="preserve"> 2018</w:t>
          </w:r>
        </w:p>
      </w:tc>
      <w:tc>
        <w:tcPr>
          <w:tcW w:w="4392" w:type="dxa"/>
          <w:shd w:val="clear" w:color="auto" w:fill="auto"/>
        </w:tcPr>
        <w:p w14:paraId="05A3DEA6" w14:textId="77777777" w:rsidR="00571FC0" w:rsidRPr="00343F6F" w:rsidRDefault="00571FC0" w:rsidP="00B36686">
          <w:pPr>
            <w:jc w:val="center"/>
            <w:rPr>
              <w:rFonts w:ascii="Univers LT Std 57 Cn" w:hAnsi="Univers LT Std 57 Cn"/>
            </w:rPr>
          </w:pPr>
          <w:r w:rsidRPr="00343F6F">
            <w:rPr>
              <w:rFonts w:ascii="Univers LT Std 57 Cn" w:hAnsi="Univers LT Std 57 Cn"/>
              <w:position w:val="-1"/>
              <w:sz w:val="18"/>
            </w:rPr>
            <w:t xml:space="preserve">ISMP </w:t>
          </w:r>
          <w:proofErr w:type="spellStart"/>
          <w:r w:rsidRPr="00343F6F">
            <w:rPr>
              <w:rFonts w:ascii="Univers LT Std 57 Cn" w:hAnsi="Univers LT Std 57 Cn"/>
              <w:position w:val="-1"/>
              <w:sz w:val="18"/>
            </w:rPr>
            <w:t>Medication</w:t>
          </w:r>
          <w:r w:rsidRPr="00DB1EB8">
            <w:rPr>
              <w:rFonts w:ascii="Univers LT Std 57 Cn" w:hAnsi="Univers LT Std 57 Cn"/>
              <w:b/>
              <w:position w:val="-1"/>
              <w:sz w:val="18"/>
            </w:rPr>
            <w:t>Safety</w:t>
          </w:r>
          <w:r w:rsidRPr="00343F6F">
            <w:rPr>
              <w:rFonts w:ascii="Univers LT Std 57 Cn" w:hAnsi="Univers LT Std 57 Cn"/>
              <w:position w:val="-1"/>
              <w:sz w:val="18"/>
            </w:rPr>
            <w:t>Alert</w:t>
          </w:r>
          <w:proofErr w:type="spellEnd"/>
          <w:r w:rsidRPr="00343F6F">
            <w:rPr>
              <w:rFonts w:ascii="Univers LT Std 57 Cn" w:hAnsi="Univers LT Std 57 Cn"/>
              <w:position w:val="-1"/>
              <w:sz w:val="18"/>
            </w:rPr>
            <w:t>!</w:t>
          </w:r>
          <w:r w:rsidRPr="00343F6F">
            <w:rPr>
              <w:rStyle w:val="Normal1"/>
              <w:rFonts w:ascii="Symbol" w:hAnsi="Symbol"/>
              <w:sz w:val="12"/>
              <w:szCs w:val="12"/>
              <w:vertAlign w:val="superscript"/>
            </w:rPr>
            <w:t></w:t>
          </w:r>
          <w:r w:rsidRPr="00343F6F">
            <w:rPr>
              <w:rFonts w:ascii="Univers LT Std 57 Cn" w:hAnsi="Univers LT Std 57 Cn"/>
            </w:rPr>
            <w:cr/>
          </w:r>
          <w:r w:rsidRPr="00343F6F">
            <w:rPr>
              <w:rFonts w:ascii="Univers LT Std 57 Cn" w:hAnsi="Univers LT Std 57 Cn"/>
              <w:position w:val="-1"/>
              <w:sz w:val="18"/>
            </w:rPr>
            <w:t>Community/Ambulatory Care</w:t>
          </w:r>
        </w:p>
        <w:p w14:paraId="7AA1361B" w14:textId="77777777" w:rsidR="00571FC0" w:rsidRPr="00343F6F" w:rsidRDefault="00571FC0" w:rsidP="00B36686">
          <w:pPr>
            <w:pStyle w:val="hosp-volume-no"/>
            <w:jc w:val="right"/>
            <w:rPr>
              <w:rFonts w:ascii="Univers LT Std 57 Cn" w:hAnsi="Univers LT Std 57 Cn"/>
            </w:rPr>
          </w:pPr>
        </w:p>
      </w:tc>
      <w:tc>
        <w:tcPr>
          <w:tcW w:w="5724" w:type="dxa"/>
          <w:shd w:val="clear" w:color="auto" w:fill="auto"/>
        </w:tcPr>
        <w:p w14:paraId="15A5A5AB" w14:textId="77777777" w:rsidR="00571FC0" w:rsidRPr="00343F6F" w:rsidRDefault="00DB1EB8" w:rsidP="00B36686">
          <w:pPr>
            <w:pStyle w:val="hosp-volume-no"/>
            <w:jc w:val="right"/>
            <w:rPr>
              <w:rStyle w:val="PageNumber"/>
              <w:rFonts w:ascii="Univers LT Std 57 Cn" w:hAnsi="Univers LT Std 57 Cn"/>
              <w:color w:val="000000"/>
              <w:szCs w:val="24"/>
            </w:rPr>
          </w:pPr>
          <w:r>
            <w:rPr>
              <w:rFonts w:ascii="Univers LT Std 57 Cn" w:hAnsi="Univers LT Std 57 Cn"/>
            </w:rPr>
            <w:t>AA</w:t>
          </w:r>
          <w:r w:rsidR="00571FC0" w:rsidRPr="00343F6F">
            <w:rPr>
              <w:rFonts w:ascii="Univers LT Std 57 Cn" w:hAnsi="Univers LT Std 57 Cn"/>
            </w:rPr>
            <w:t xml:space="preserve"> </w:t>
          </w:r>
          <w:r w:rsidR="00571FC0" w:rsidRPr="00343F6F">
            <w:rPr>
              <w:rStyle w:val="PageNumber"/>
              <w:rFonts w:ascii="Univers LT Std 57 Cn" w:hAnsi="Univers LT Std 57 Cn"/>
              <w:color w:val="000000"/>
              <w:szCs w:val="24"/>
            </w:rPr>
            <w:fldChar w:fldCharType="begin"/>
          </w:r>
          <w:r w:rsidR="00571FC0" w:rsidRPr="00343F6F">
            <w:rPr>
              <w:rStyle w:val="PageNumber"/>
              <w:rFonts w:ascii="Univers LT Std 57 Cn" w:hAnsi="Univers LT Std 57 Cn"/>
              <w:color w:val="000000"/>
              <w:szCs w:val="24"/>
            </w:rPr>
            <w:instrText xml:space="preserve"> PAGE </w:instrText>
          </w:r>
          <w:r w:rsidR="00571FC0" w:rsidRPr="00343F6F">
            <w:rPr>
              <w:rStyle w:val="PageNumber"/>
              <w:rFonts w:ascii="Univers LT Std 57 Cn" w:hAnsi="Univers LT Std 57 Cn"/>
              <w:color w:val="000000"/>
              <w:szCs w:val="24"/>
            </w:rPr>
            <w:fldChar w:fldCharType="separate"/>
          </w:r>
          <w:r w:rsidR="002C57B7">
            <w:rPr>
              <w:rStyle w:val="PageNumber"/>
              <w:rFonts w:ascii="Univers LT Std 57 Cn" w:hAnsi="Univers LT Std 57 Cn"/>
              <w:noProof/>
              <w:color w:val="000000"/>
              <w:szCs w:val="24"/>
            </w:rPr>
            <w:t>1</w:t>
          </w:r>
          <w:r w:rsidR="00571FC0" w:rsidRPr="00343F6F">
            <w:rPr>
              <w:rStyle w:val="PageNumber"/>
              <w:rFonts w:ascii="Univers LT Std 57 Cn" w:hAnsi="Univers LT Std 57 Cn"/>
              <w:color w:val="000000"/>
              <w:szCs w:val="24"/>
            </w:rPr>
            <w:fldChar w:fldCharType="end"/>
          </w:r>
        </w:p>
        <w:p w14:paraId="0ED14E57" w14:textId="77777777" w:rsidR="00571FC0" w:rsidRPr="00343F6F" w:rsidRDefault="00571FC0" w:rsidP="00B36686">
          <w:pPr>
            <w:pStyle w:val="hosp-volume-no"/>
            <w:jc w:val="right"/>
            <w:rPr>
              <w:rFonts w:ascii="Univers LT Std 57 Cn" w:hAnsi="Univers LT Std 57 Cn"/>
            </w:rPr>
          </w:pPr>
        </w:p>
      </w:tc>
    </w:tr>
  </w:tbl>
  <w:p w14:paraId="22B123CB" w14:textId="77777777" w:rsidR="00571FC0" w:rsidRPr="00343F6F" w:rsidRDefault="00571FC0">
    <w:pPr>
      <w:pStyle w:val="Footer"/>
      <w:rPr>
        <w:rFonts w:ascii="Univers LT Std 57 Cn" w:hAnsi="Univers LT Std 57 C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439A1C1" w14:textId="77777777" w:rsidR="00843A64" w:rsidRDefault="00843A64">
      <w:r>
        <w:separator/>
      </w:r>
    </w:p>
  </w:footnote>
  <w:footnote w:type="continuationSeparator" w:id="0">
    <w:p w14:paraId="4684F5A9" w14:textId="77777777" w:rsidR="00843A64" w:rsidRDefault="00843A6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D2DC41" w14:textId="77777777" w:rsidR="00571FC0" w:rsidRPr="00A62136" w:rsidRDefault="002C57B7" w:rsidP="00F56B2D">
    <w:pPr>
      <w:jc w:val="center"/>
      <w:rPr>
        <w:rFonts w:ascii="Univers LT Std 55" w:hAnsi="Univers LT Std 55"/>
        <w:color w:val="999999"/>
        <w:sz w:val="18"/>
      </w:rPr>
    </w:pPr>
    <w:r>
      <w:rPr>
        <w:rFonts w:ascii="Univers LT Std 55" w:hAnsi="Univers LT Std 55"/>
        <w:color w:val="999999"/>
        <w:sz w:val="18"/>
      </w:rPr>
      <w:t xml:space="preserve">May – </w:t>
    </w:r>
    <w:proofErr w:type="gramStart"/>
    <w:r>
      <w:rPr>
        <w:rFonts w:ascii="Univers LT Std 55" w:hAnsi="Univers LT Std 55"/>
        <w:color w:val="999999"/>
        <w:sz w:val="18"/>
      </w:rPr>
      <w:t xml:space="preserve">August </w:t>
    </w:r>
    <w:r w:rsidR="00C3115B">
      <w:rPr>
        <w:rFonts w:ascii="Univers LT Std 55" w:hAnsi="Univers LT Std 55"/>
        <w:color w:val="999999"/>
        <w:sz w:val="18"/>
      </w:rPr>
      <w:t xml:space="preserve"> 2018</w:t>
    </w:r>
    <w:proofErr w:type="gramEnd"/>
  </w:p>
  <w:p w14:paraId="7D588998" w14:textId="77777777" w:rsidR="00571FC0" w:rsidRPr="00A62136" w:rsidRDefault="00571FC0" w:rsidP="002D0D7C">
    <w:pPr>
      <w:ind w:right="-180"/>
      <w:jc w:val="center"/>
      <w:rPr>
        <w:rFonts w:ascii="Univers LT Std 55" w:hAnsi="Univers LT Std 55"/>
        <w:color w:val="0D4D9E"/>
        <w:sz w:val="12"/>
      </w:rPr>
    </w:pPr>
    <w:r w:rsidRPr="00A62136">
      <w:rPr>
        <w:rFonts w:ascii="Univers LT Std 55" w:hAnsi="Univers LT Std 55"/>
        <w:i/>
        <w:color w:val="0D4D9E"/>
        <w:position w:val="-2"/>
        <w:sz w:val="18"/>
      </w:rPr>
      <w:t>ISMP</w:t>
    </w:r>
    <w:r w:rsidRPr="00A62136">
      <w:rPr>
        <w:rFonts w:ascii="Univers LT Std 55" w:hAnsi="Univers LT Std 55"/>
        <w:color w:val="0D4D9E"/>
        <w:position w:val="-3"/>
        <w:sz w:val="32"/>
      </w:rPr>
      <w:t xml:space="preserve"> </w:t>
    </w:r>
    <w:proofErr w:type="spellStart"/>
    <w:r w:rsidR="00C3115B">
      <w:rPr>
        <w:rFonts w:ascii="Univers LT Std 55" w:hAnsi="Univers LT Std 55"/>
        <w:b/>
        <w:color w:val="0D4D9E"/>
        <w:position w:val="-3"/>
        <w:sz w:val="32"/>
      </w:rPr>
      <w:t>Action</w:t>
    </w:r>
    <w:r w:rsidRPr="00A62136">
      <w:rPr>
        <w:rFonts w:ascii="Univers LT Std 55" w:hAnsi="Univers LT Std 55"/>
        <w:color w:val="0D4D9E"/>
        <w:position w:val="-3"/>
        <w:sz w:val="32"/>
      </w:rPr>
      <w:t>Agenda</w:t>
    </w:r>
    <w:proofErr w:type="spellEnd"/>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993EA2" w14:textId="77777777" w:rsidR="00571FC0" w:rsidRPr="00FB349E" w:rsidRDefault="002C57B7" w:rsidP="00D66374">
    <w:pPr>
      <w:jc w:val="center"/>
      <w:rPr>
        <w:rFonts w:ascii="Univers LT Std 55" w:hAnsi="Univers LT Std 55"/>
        <w:color w:val="999999"/>
        <w:sz w:val="18"/>
      </w:rPr>
    </w:pPr>
    <w:r>
      <w:rPr>
        <w:rFonts w:ascii="Univers LT Std 55" w:hAnsi="Univers LT Std 55"/>
        <w:color w:val="999999"/>
        <w:sz w:val="18"/>
      </w:rPr>
      <w:t xml:space="preserve">May – August </w:t>
    </w:r>
    <w:r w:rsidR="00C3115B">
      <w:rPr>
        <w:rFonts w:ascii="Univers LT Std 55" w:hAnsi="Univers LT Std 55"/>
        <w:color w:val="999999"/>
        <w:sz w:val="18"/>
      </w:rPr>
      <w:t xml:space="preserve"> 2018</w:t>
    </w:r>
  </w:p>
  <w:p w14:paraId="5B04BF1E" w14:textId="77777777" w:rsidR="00571FC0" w:rsidRPr="008455F2" w:rsidRDefault="00273C8B" w:rsidP="00273C8B">
    <w:pPr>
      <w:jc w:val="center"/>
      <w:textAlignment w:val="baseline"/>
      <w:rPr>
        <w:color w:val="0D4D9E"/>
      </w:rPr>
    </w:pPr>
    <w:r w:rsidRPr="00273C8B">
      <w:rPr>
        <w:rFonts w:ascii="Univers LT Std 55" w:eastAsia="Univers LT Std 55" w:hAnsi="Univers LT Std 55" w:cs="Univers LT Std 55"/>
        <w:b/>
        <w:i/>
        <w:color w:val="141F86"/>
        <w:spacing w:val="-12"/>
        <w:w w:val="97"/>
        <w:position w:val="-2"/>
        <w:sz w:val="34"/>
        <w:lang w:bidi="en-US"/>
      </w:rPr>
      <w:t>ISMP</w:t>
    </w:r>
    <w:r w:rsidR="00C3115B">
      <w:rPr>
        <w:rFonts w:ascii="Univers LT Std 55" w:eastAsia="Univers LT Std 55" w:hAnsi="Univers LT Std 55" w:cs="Univers LT Std 55"/>
        <w:b/>
        <w:i/>
        <w:color w:val="141F86"/>
        <w:spacing w:val="-12"/>
        <w:w w:val="97"/>
        <w:position w:val="-2"/>
        <w:sz w:val="34"/>
        <w:lang w:bidi="en-US"/>
      </w:rPr>
      <w:t xml:space="preserve"> </w:t>
    </w:r>
    <w:r w:rsidR="00C3115B" w:rsidRPr="00C3115B">
      <w:rPr>
        <w:rFonts w:ascii="Univers LT Std 55" w:eastAsia="Univers LT Std 55" w:hAnsi="Univers LT Std 55" w:cs="Univers LT Std 55"/>
        <w:i/>
        <w:color w:val="141F86"/>
        <w:spacing w:val="-12"/>
        <w:w w:val="97"/>
        <w:position w:val="-2"/>
        <w:sz w:val="34"/>
        <w:lang w:bidi="en-US"/>
      </w:rPr>
      <w:t>Medication Safety Alert!</w:t>
    </w:r>
    <w:r w:rsidRPr="00273C8B">
      <w:rPr>
        <w:rFonts w:ascii="Univers LT Std 45 Light" w:eastAsia="Univers LT Std 45 Light" w:hAnsi="Univers LT Std 45 Light" w:cs="Univers LT Std 45 Light"/>
        <w:color w:val="141F86"/>
        <w:spacing w:val="-18"/>
        <w:w w:val="97"/>
        <w:position w:val="-3"/>
        <w:sz w:val="54"/>
        <w:lang w:bidi="en-US"/>
      </w:rPr>
      <w:t xml:space="preserve"> </w:t>
    </w:r>
    <w:proofErr w:type="spellStart"/>
    <w:r w:rsidRPr="00273C8B">
      <w:rPr>
        <w:rFonts w:ascii="Univers LT Std 55" w:eastAsia="Univers LT Std 55" w:hAnsi="Univers LT Std 55" w:cs="Univers LT Std 55"/>
        <w:b/>
        <w:color w:val="141F86"/>
        <w:spacing w:val="-18"/>
        <w:w w:val="97"/>
        <w:position w:val="-3"/>
        <w:sz w:val="54"/>
        <w:lang w:bidi="en-US"/>
      </w:rPr>
      <w:t>Action</w:t>
    </w:r>
    <w:r w:rsidRPr="00273C8B">
      <w:rPr>
        <w:rFonts w:ascii="Univers LT Std 55" w:eastAsia="Univers LT Std 55" w:hAnsi="Univers LT Std 55" w:cs="Univers LT Std 55"/>
        <w:color w:val="141F86"/>
        <w:spacing w:val="-18"/>
        <w:w w:val="97"/>
        <w:position w:val="-3"/>
        <w:sz w:val="54"/>
        <w:lang w:bidi="en-US"/>
      </w:rPr>
      <w:t>Agenda</w:t>
    </w:r>
    <w:proofErr w:type="spellEnd"/>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gutterAtTop/>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ocumentProtection w:formatting="1" w:enforcement="0"/>
  <w:defaultTabStop w:val="720"/>
  <w:noPunctuationKerning/>
  <w:characterSpacingControl w:val="doNotCompress"/>
  <w:hdrShapeDefaults>
    <o:shapedefaults v:ext="edit" spidmax="4097">
      <o:colormru v:ext="edit" colors="white,#ffc"/>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36C3"/>
    <w:rsid w:val="0000263F"/>
    <w:rsid w:val="00005D76"/>
    <w:rsid w:val="000062C2"/>
    <w:rsid w:val="00007686"/>
    <w:rsid w:val="000136D2"/>
    <w:rsid w:val="0001627D"/>
    <w:rsid w:val="00022EF4"/>
    <w:rsid w:val="00023304"/>
    <w:rsid w:val="000261E7"/>
    <w:rsid w:val="00037545"/>
    <w:rsid w:val="00041291"/>
    <w:rsid w:val="0004277F"/>
    <w:rsid w:val="0004763F"/>
    <w:rsid w:val="00064888"/>
    <w:rsid w:val="00065E21"/>
    <w:rsid w:val="00086CE1"/>
    <w:rsid w:val="00090643"/>
    <w:rsid w:val="00097AED"/>
    <w:rsid w:val="000B2CE1"/>
    <w:rsid w:val="000C1DBB"/>
    <w:rsid w:val="000C417B"/>
    <w:rsid w:val="000D05BF"/>
    <w:rsid w:val="000E36E6"/>
    <w:rsid w:val="000E5ECC"/>
    <w:rsid w:val="00100C1D"/>
    <w:rsid w:val="00103423"/>
    <w:rsid w:val="00107B68"/>
    <w:rsid w:val="00111477"/>
    <w:rsid w:val="0011186D"/>
    <w:rsid w:val="001121F0"/>
    <w:rsid w:val="001122D4"/>
    <w:rsid w:val="0012462A"/>
    <w:rsid w:val="00136F07"/>
    <w:rsid w:val="00137B58"/>
    <w:rsid w:val="001451F0"/>
    <w:rsid w:val="001512BF"/>
    <w:rsid w:val="00154F14"/>
    <w:rsid w:val="00157C53"/>
    <w:rsid w:val="00161303"/>
    <w:rsid w:val="001655FA"/>
    <w:rsid w:val="00171CDF"/>
    <w:rsid w:val="001737E2"/>
    <w:rsid w:val="001759C0"/>
    <w:rsid w:val="001770AC"/>
    <w:rsid w:val="00183329"/>
    <w:rsid w:val="001A4415"/>
    <w:rsid w:val="001B30D8"/>
    <w:rsid w:val="001B4218"/>
    <w:rsid w:val="001C76EB"/>
    <w:rsid w:val="001D00E3"/>
    <w:rsid w:val="001D2E86"/>
    <w:rsid w:val="001E05A5"/>
    <w:rsid w:val="001E09D5"/>
    <w:rsid w:val="001F166C"/>
    <w:rsid w:val="001F4C4B"/>
    <w:rsid w:val="00200157"/>
    <w:rsid w:val="002228A3"/>
    <w:rsid w:val="002261C9"/>
    <w:rsid w:val="0023241D"/>
    <w:rsid w:val="00235ABC"/>
    <w:rsid w:val="002527D2"/>
    <w:rsid w:val="00264DC4"/>
    <w:rsid w:val="00273C8B"/>
    <w:rsid w:val="00276E72"/>
    <w:rsid w:val="00282888"/>
    <w:rsid w:val="00292167"/>
    <w:rsid w:val="00293636"/>
    <w:rsid w:val="002A432E"/>
    <w:rsid w:val="002B2DA7"/>
    <w:rsid w:val="002B79E7"/>
    <w:rsid w:val="002C0BAF"/>
    <w:rsid w:val="002C57B7"/>
    <w:rsid w:val="002C7C0B"/>
    <w:rsid w:val="002D0AC8"/>
    <w:rsid w:val="002D0D7C"/>
    <w:rsid w:val="002D4152"/>
    <w:rsid w:val="002E16D6"/>
    <w:rsid w:val="0030067D"/>
    <w:rsid w:val="00311B3C"/>
    <w:rsid w:val="00317141"/>
    <w:rsid w:val="00317B44"/>
    <w:rsid w:val="00320B7E"/>
    <w:rsid w:val="00330C42"/>
    <w:rsid w:val="00331306"/>
    <w:rsid w:val="00343F6F"/>
    <w:rsid w:val="003517AB"/>
    <w:rsid w:val="00352199"/>
    <w:rsid w:val="00352C0F"/>
    <w:rsid w:val="00363D17"/>
    <w:rsid w:val="0038144F"/>
    <w:rsid w:val="00391E76"/>
    <w:rsid w:val="003920B6"/>
    <w:rsid w:val="003957A8"/>
    <w:rsid w:val="00397550"/>
    <w:rsid w:val="003A2BB2"/>
    <w:rsid w:val="003B69A5"/>
    <w:rsid w:val="003C0364"/>
    <w:rsid w:val="003C0D38"/>
    <w:rsid w:val="003E7BFC"/>
    <w:rsid w:val="003F04B4"/>
    <w:rsid w:val="00405850"/>
    <w:rsid w:val="00407D1A"/>
    <w:rsid w:val="00422005"/>
    <w:rsid w:val="00446E8F"/>
    <w:rsid w:val="00450B0C"/>
    <w:rsid w:val="0046245C"/>
    <w:rsid w:val="00473B6D"/>
    <w:rsid w:val="00481D01"/>
    <w:rsid w:val="00482777"/>
    <w:rsid w:val="004917B7"/>
    <w:rsid w:val="0049572E"/>
    <w:rsid w:val="004A716E"/>
    <w:rsid w:val="004B0130"/>
    <w:rsid w:val="004B2623"/>
    <w:rsid w:val="004B29BE"/>
    <w:rsid w:val="004B309D"/>
    <w:rsid w:val="004C4A63"/>
    <w:rsid w:val="004C79A5"/>
    <w:rsid w:val="004F0D06"/>
    <w:rsid w:val="00502537"/>
    <w:rsid w:val="00503C5E"/>
    <w:rsid w:val="005069E3"/>
    <w:rsid w:val="00510080"/>
    <w:rsid w:val="005168EB"/>
    <w:rsid w:val="005226C7"/>
    <w:rsid w:val="00533376"/>
    <w:rsid w:val="00540581"/>
    <w:rsid w:val="00541A8C"/>
    <w:rsid w:val="00556D1F"/>
    <w:rsid w:val="00562B2F"/>
    <w:rsid w:val="00565948"/>
    <w:rsid w:val="00571FC0"/>
    <w:rsid w:val="005755AB"/>
    <w:rsid w:val="005979DB"/>
    <w:rsid w:val="005B24A2"/>
    <w:rsid w:val="005B2CAD"/>
    <w:rsid w:val="005C016C"/>
    <w:rsid w:val="005C0DB2"/>
    <w:rsid w:val="005C307A"/>
    <w:rsid w:val="005D26FA"/>
    <w:rsid w:val="005D2A75"/>
    <w:rsid w:val="005D66E0"/>
    <w:rsid w:val="005E5138"/>
    <w:rsid w:val="005E51CD"/>
    <w:rsid w:val="005E73C8"/>
    <w:rsid w:val="005E790A"/>
    <w:rsid w:val="005F5E78"/>
    <w:rsid w:val="006314AA"/>
    <w:rsid w:val="00632432"/>
    <w:rsid w:val="0063493C"/>
    <w:rsid w:val="0063613F"/>
    <w:rsid w:val="0066080D"/>
    <w:rsid w:val="006630A4"/>
    <w:rsid w:val="00675C4D"/>
    <w:rsid w:val="006836C3"/>
    <w:rsid w:val="00684D1E"/>
    <w:rsid w:val="00685901"/>
    <w:rsid w:val="006872A9"/>
    <w:rsid w:val="006B0563"/>
    <w:rsid w:val="006B4006"/>
    <w:rsid w:val="006C0394"/>
    <w:rsid w:val="006C1155"/>
    <w:rsid w:val="006D1340"/>
    <w:rsid w:val="006D671A"/>
    <w:rsid w:val="006E656E"/>
    <w:rsid w:val="006F0B2B"/>
    <w:rsid w:val="006F6697"/>
    <w:rsid w:val="007172C0"/>
    <w:rsid w:val="00720867"/>
    <w:rsid w:val="0072480E"/>
    <w:rsid w:val="007266B9"/>
    <w:rsid w:val="00736820"/>
    <w:rsid w:val="00757D59"/>
    <w:rsid w:val="007622A8"/>
    <w:rsid w:val="00763821"/>
    <w:rsid w:val="007760F8"/>
    <w:rsid w:val="0078775E"/>
    <w:rsid w:val="00787925"/>
    <w:rsid w:val="0079079C"/>
    <w:rsid w:val="007A3331"/>
    <w:rsid w:val="007B3E30"/>
    <w:rsid w:val="007C176B"/>
    <w:rsid w:val="007C357E"/>
    <w:rsid w:val="007C5952"/>
    <w:rsid w:val="007D70CF"/>
    <w:rsid w:val="007E4305"/>
    <w:rsid w:val="007F2CD5"/>
    <w:rsid w:val="007F3754"/>
    <w:rsid w:val="007F6FE5"/>
    <w:rsid w:val="007F7AE7"/>
    <w:rsid w:val="00807D01"/>
    <w:rsid w:val="00814822"/>
    <w:rsid w:val="00815A02"/>
    <w:rsid w:val="008219D3"/>
    <w:rsid w:val="0082558E"/>
    <w:rsid w:val="008279B2"/>
    <w:rsid w:val="00837D17"/>
    <w:rsid w:val="00843A64"/>
    <w:rsid w:val="008455F2"/>
    <w:rsid w:val="00853864"/>
    <w:rsid w:val="008746DC"/>
    <w:rsid w:val="0089012D"/>
    <w:rsid w:val="00892D86"/>
    <w:rsid w:val="00893CF3"/>
    <w:rsid w:val="00894342"/>
    <w:rsid w:val="008A237E"/>
    <w:rsid w:val="008B248A"/>
    <w:rsid w:val="008C06DD"/>
    <w:rsid w:val="008C4BCC"/>
    <w:rsid w:val="008C4CFB"/>
    <w:rsid w:val="008D39F5"/>
    <w:rsid w:val="008D7CCF"/>
    <w:rsid w:val="008E38BF"/>
    <w:rsid w:val="008E77D1"/>
    <w:rsid w:val="00907D54"/>
    <w:rsid w:val="00916416"/>
    <w:rsid w:val="00930886"/>
    <w:rsid w:val="009459E4"/>
    <w:rsid w:val="00954EA6"/>
    <w:rsid w:val="0096106F"/>
    <w:rsid w:val="00966C3E"/>
    <w:rsid w:val="00966EB6"/>
    <w:rsid w:val="00971EF2"/>
    <w:rsid w:val="00975D5C"/>
    <w:rsid w:val="00982209"/>
    <w:rsid w:val="009A327D"/>
    <w:rsid w:val="009A59FA"/>
    <w:rsid w:val="009A76D2"/>
    <w:rsid w:val="009F5965"/>
    <w:rsid w:val="00A02ECF"/>
    <w:rsid w:val="00A0309D"/>
    <w:rsid w:val="00A107FA"/>
    <w:rsid w:val="00A17AFE"/>
    <w:rsid w:val="00A201A5"/>
    <w:rsid w:val="00A30BF2"/>
    <w:rsid w:val="00A32D65"/>
    <w:rsid w:val="00A41E36"/>
    <w:rsid w:val="00A53FFE"/>
    <w:rsid w:val="00A5481A"/>
    <w:rsid w:val="00A61736"/>
    <w:rsid w:val="00A62136"/>
    <w:rsid w:val="00A6494A"/>
    <w:rsid w:val="00A65BFF"/>
    <w:rsid w:val="00A66F76"/>
    <w:rsid w:val="00A6798F"/>
    <w:rsid w:val="00A741DB"/>
    <w:rsid w:val="00A81AFD"/>
    <w:rsid w:val="00A91A1D"/>
    <w:rsid w:val="00A94372"/>
    <w:rsid w:val="00AA7508"/>
    <w:rsid w:val="00AB6586"/>
    <w:rsid w:val="00AC0268"/>
    <w:rsid w:val="00AC5EC7"/>
    <w:rsid w:val="00AD200C"/>
    <w:rsid w:val="00AE0770"/>
    <w:rsid w:val="00AE4ABA"/>
    <w:rsid w:val="00AF03A8"/>
    <w:rsid w:val="00AF2107"/>
    <w:rsid w:val="00AF213F"/>
    <w:rsid w:val="00AF29B5"/>
    <w:rsid w:val="00B0339A"/>
    <w:rsid w:val="00B201FC"/>
    <w:rsid w:val="00B36686"/>
    <w:rsid w:val="00B66999"/>
    <w:rsid w:val="00B722C2"/>
    <w:rsid w:val="00B7742B"/>
    <w:rsid w:val="00B81EEF"/>
    <w:rsid w:val="00B8744A"/>
    <w:rsid w:val="00B91D3F"/>
    <w:rsid w:val="00B967D6"/>
    <w:rsid w:val="00BA0902"/>
    <w:rsid w:val="00BA6BF3"/>
    <w:rsid w:val="00BB0667"/>
    <w:rsid w:val="00BB6696"/>
    <w:rsid w:val="00BD05AF"/>
    <w:rsid w:val="00BD110C"/>
    <w:rsid w:val="00BE2252"/>
    <w:rsid w:val="00BF6076"/>
    <w:rsid w:val="00C01E22"/>
    <w:rsid w:val="00C02132"/>
    <w:rsid w:val="00C1299F"/>
    <w:rsid w:val="00C15944"/>
    <w:rsid w:val="00C301D5"/>
    <w:rsid w:val="00C3115B"/>
    <w:rsid w:val="00C43829"/>
    <w:rsid w:val="00C44915"/>
    <w:rsid w:val="00C54D89"/>
    <w:rsid w:val="00C56E2D"/>
    <w:rsid w:val="00C67F47"/>
    <w:rsid w:val="00C71391"/>
    <w:rsid w:val="00C80DC7"/>
    <w:rsid w:val="00C84627"/>
    <w:rsid w:val="00CB7905"/>
    <w:rsid w:val="00CC1137"/>
    <w:rsid w:val="00CC276A"/>
    <w:rsid w:val="00CC7533"/>
    <w:rsid w:val="00CD3AE8"/>
    <w:rsid w:val="00CE6043"/>
    <w:rsid w:val="00CF6895"/>
    <w:rsid w:val="00D0668D"/>
    <w:rsid w:val="00D3033B"/>
    <w:rsid w:val="00D36378"/>
    <w:rsid w:val="00D5110F"/>
    <w:rsid w:val="00D6578C"/>
    <w:rsid w:val="00D66374"/>
    <w:rsid w:val="00D763EF"/>
    <w:rsid w:val="00D84E5E"/>
    <w:rsid w:val="00D96759"/>
    <w:rsid w:val="00D969B6"/>
    <w:rsid w:val="00DA4619"/>
    <w:rsid w:val="00DB0CB7"/>
    <w:rsid w:val="00DB0EA0"/>
    <w:rsid w:val="00DB1EB8"/>
    <w:rsid w:val="00DB2E0D"/>
    <w:rsid w:val="00DB7740"/>
    <w:rsid w:val="00DC20B4"/>
    <w:rsid w:val="00DE62D1"/>
    <w:rsid w:val="00DE76F4"/>
    <w:rsid w:val="00DE77D2"/>
    <w:rsid w:val="00DF38FA"/>
    <w:rsid w:val="00DF45D1"/>
    <w:rsid w:val="00E138BE"/>
    <w:rsid w:val="00E15A70"/>
    <w:rsid w:val="00E2071C"/>
    <w:rsid w:val="00E20F27"/>
    <w:rsid w:val="00E325CF"/>
    <w:rsid w:val="00E4096B"/>
    <w:rsid w:val="00E50A5E"/>
    <w:rsid w:val="00E512B3"/>
    <w:rsid w:val="00E62435"/>
    <w:rsid w:val="00E810F8"/>
    <w:rsid w:val="00E872FA"/>
    <w:rsid w:val="00E91CB5"/>
    <w:rsid w:val="00EA4612"/>
    <w:rsid w:val="00EA5888"/>
    <w:rsid w:val="00EC0343"/>
    <w:rsid w:val="00ED7DDF"/>
    <w:rsid w:val="00F003F7"/>
    <w:rsid w:val="00F026EA"/>
    <w:rsid w:val="00F25E6B"/>
    <w:rsid w:val="00F37A22"/>
    <w:rsid w:val="00F41A79"/>
    <w:rsid w:val="00F435C0"/>
    <w:rsid w:val="00F52484"/>
    <w:rsid w:val="00F53E84"/>
    <w:rsid w:val="00F56B2D"/>
    <w:rsid w:val="00F63EBC"/>
    <w:rsid w:val="00F73AF8"/>
    <w:rsid w:val="00F8736B"/>
    <w:rsid w:val="00F87C0A"/>
    <w:rsid w:val="00F901ED"/>
    <w:rsid w:val="00F940BA"/>
    <w:rsid w:val="00F95EC3"/>
    <w:rsid w:val="00FA3D62"/>
    <w:rsid w:val="00FB2CD6"/>
    <w:rsid w:val="00FB349E"/>
    <w:rsid w:val="00FC3995"/>
    <w:rsid w:val="00FD0D78"/>
    <w:rsid w:val="00FE2E2C"/>
    <w:rsid w:val="00FE4EBE"/>
    <w:rsid w:val="00FF73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colormru v:ext="edit" colors="white,#ffc"/>
    </o:shapedefaults>
    <o:shapelayout v:ext="edit">
      <o:idmap v:ext="edit" data="1"/>
    </o:shapelayout>
  </w:shapeDefaults>
  <w:decimalSymbol w:val="."/>
  <w:listSeparator w:val=","/>
  <w14:docId w14:val="3605AAC4"/>
  <w15:docId w15:val="{D49C963F-A9B6-47ED-9BA2-8BF5237002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locked="1" w:semiHidden="1" w:unhideWhenUsed="1"/>
    <w:lsdException w:name="footnote text" w:locked="1" w:semiHidden="1" w:unhideWhenUsed="1"/>
    <w:lsdException w:name="annotation text" w:locked="1" w:semiHidden="1" w:unhideWhenUsed="1"/>
    <w:lsdException w:name="header" w:semiHidden="1" w:unhideWhenUsed="1"/>
    <w:lsdException w:name="footer" w:semiHidden="1" w:unhideWhenUsed="1"/>
    <w:lsdException w:name="index heading" w:locked="1" w:semiHidden="1" w:unhideWhenUsed="1"/>
    <w:lsdException w:name="caption" w:locked="1" w:semiHidden="1"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lsdException w:name="toa heading" w:locked="1" w:semiHidden="1" w:unhideWhenUsed="1"/>
    <w:lsdException w:name="List" w:locked="1" w:semiHidden="1" w:unhideWhenUsed="1"/>
    <w:lsdException w:name="List Bullet" w:locked="1"/>
    <w:lsdException w:name="List Number" w:lock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semiHidden="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lsdException w:name="List Continue 4" w:locked="1"/>
    <w:lsdException w:name="List Continue 5" w:locked="1"/>
    <w:lsdException w:name="Message Header" w:lock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semiHidden="1" w:unhideWhenUsed="1"/>
    <w:lsdException w:name="FollowedHyperlink" w:locked="1" w:semiHidden="1" w:unhideWhenUsed="1"/>
    <w:lsdException w:name="Strong" w:locked="1" w:qFormat="1"/>
    <w:lsdException w:name="Emphasis" w:qFormat="1"/>
    <w:lsdException w:name="Document Map" w:locked="1" w:semiHidden="1" w:unhideWhenUsed="1"/>
    <w:lsdException w:name="Plain Text" w:locked="1" w:semiHidden="1" w:unhideWhenUsed="1"/>
    <w:lsdException w:name="E-mail Signature" w:locked="1" w:semiHidden="1" w:unhideWhenUsed="1"/>
    <w:lsdException w:name="HTML Top of Form" w:semiHidden="1" w:unhideWhenUsed="1"/>
    <w:lsdException w:name="HTML Bottom of Form"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nhideWhenUsed="1"/>
    <w:lsdException w:name="annotation subject" w:locked="1" w:semiHidden="1" w:unhideWhenUsed="1"/>
    <w:lsdException w:name="No List"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lsdException w:name="Balloon Text" w:locked="1"/>
    <w:lsdException w:name="Table Grid" w:uiPriority="59"/>
    <w:lsdException w:name="Table Theme"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30067D"/>
    <w:rPr>
      <w:rFonts w:ascii="Arial" w:hAnsi="Arial"/>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locked/>
    <w:rsid w:val="00ED7D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qFormat/>
    <w:locked/>
    <w:rsid w:val="00097AED"/>
    <w:rPr>
      <w:i/>
      <w:iCs/>
    </w:rPr>
  </w:style>
  <w:style w:type="paragraph" w:customStyle="1" w:styleId="AC-table-hed">
    <w:name w:val="AC-table-hed"/>
    <w:locked/>
    <w:rsid w:val="001B30D8"/>
    <w:pPr>
      <w:tabs>
        <w:tab w:val="center" w:pos="5735"/>
        <w:tab w:val="center" w:pos="7906"/>
        <w:tab w:val="center" w:pos="10080"/>
      </w:tabs>
      <w:spacing w:line="200" w:lineRule="exact"/>
    </w:pPr>
    <w:rPr>
      <w:rFonts w:ascii="Univers LT Std 57 Cn" w:hAnsi="Univers LT Std 57 Cn"/>
    </w:rPr>
  </w:style>
  <w:style w:type="paragraph" w:customStyle="1" w:styleId="AC-table-body">
    <w:name w:val="AC-table-body"/>
    <w:rsid w:val="00763821"/>
    <w:pPr>
      <w:tabs>
        <w:tab w:val="center" w:pos="5735"/>
        <w:tab w:val="center" w:pos="7906"/>
        <w:tab w:val="center" w:pos="10080"/>
      </w:tabs>
      <w:spacing w:line="240" w:lineRule="exact"/>
    </w:pPr>
    <w:rPr>
      <w:rFonts w:ascii="Akzidenz Grotesk BE Cn" w:hAnsi="Akzidenz Grotesk BE Cn"/>
    </w:rPr>
  </w:style>
  <w:style w:type="character" w:customStyle="1" w:styleId="Acutecare-new-agenda-he">
    <w:name w:val="Acutecare-new-agenda-he"/>
    <w:locked/>
    <w:rsid w:val="00763821"/>
    <w:rPr>
      <w:rFonts w:ascii="Akzidenz Grotesk BE BoldEx" w:hAnsi="Akzidenz Grotesk BE BoldEx"/>
      <w:sz w:val="19"/>
    </w:rPr>
  </w:style>
  <w:style w:type="paragraph" w:customStyle="1" w:styleId="Acutecare-new-agenda-hed">
    <w:name w:val="Acutecare-new-agenda-hed"/>
    <w:qFormat/>
    <w:locked/>
    <w:rsid w:val="001B30D8"/>
    <w:pPr>
      <w:tabs>
        <w:tab w:val="center" w:pos="5735"/>
        <w:tab w:val="center" w:pos="7906"/>
        <w:tab w:val="center" w:pos="10080"/>
      </w:tabs>
    </w:pPr>
    <w:rPr>
      <w:rFonts w:ascii="Univers LT Std 57 Cn" w:hAnsi="Univers LT Std 57 Cn"/>
      <w:b/>
      <w:sz w:val="19"/>
    </w:rPr>
  </w:style>
  <w:style w:type="paragraph" w:customStyle="1" w:styleId="StyleAC-table-hed85ptWhiteCentered">
    <w:name w:val="Style AC-table-hed + 8.5 pt White Centered"/>
    <w:basedOn w:val="AC-table-hed"/>
    <w:locked/>
    <w:rsid w:val="00DF45D1"/>
    <w:pPr>
      <w:spacing w:before="20"/>
      <w:jc w:val="center"/>
    </w:pPr>
    <w:rPr>
      <w:color w:val="FFFFFF"/>
      <w:sz w:val="17"/>
    </w:rPr>
  </w:style>
  <w:style w:type="paragraph" w:styleId="Header">
    <w:name w:val="header"/>
    <w:basedOn w:val="Normal"/>
    <w:locked/>
    <w:rsid w:val="008D7CCF"/>
    <w:pPr>
      <w:tabs>
        <w:tab w:val="center" w:pos="4320"/>
        <w:tab w:val="right" w:pos="8640"/>
      </w:tabs>
    </w:pPr>
  </w:style>
  <w:style w:type="paragraph" w:styleId="Footer">
    <w:name w:val="footer"/>
    <w:basedOn w:val="Normal"/>
    <w:locked/>
    <w:rsid w:val="008D7CCF"/>
    <w:pPr>
      <w:tabs>
        <w:tab w:val="center" w:pos="4320"/>
        <w:tab w:val="right" w:pos="8640"/>
      </w:tabs>
    </w:pPr>
  </w:style>
  <w:style w:type="paragraph" w:customStyle="1" w:styleId="hosp-volume-no">
    <w:name w:val="hosp-volume-no."/>
    <w:locked/>
    <w:rsid w:val="008D7CCF"/>
    <w:pPr>
      <w:jc w:val="both"/>
    </w:pPr>
    <w:rPr>
      <w:rFonts w:ascii="Akzidenz Grotesk BE Light" w:hAnsi="Akzidenz Grotesk BE Light"/>
      <w:sz w:val="16"/>
    </w:rPr>
  </w:style>
  <w:style w:type="character" w:styleId="PageNumber">
    <w:name w:val="page number"/>
    <w:basedOn w:val="DefaultParagraphFont"/>
    <w:locked/>
    <w:rsid w:val="008D7CCF"/>
  </w:style>
  <w:style w:type="character" w:customStyle="1" w:styleId="Normal1">
    <w:name w:val="Normal1"/>
    <w:locked/>
    <w:rsid w:val="00B201FC"/>
    <w:rPr>
      <w:rFonts w:ascii="Arial" w:hAnsi="Arial"/>
      <w:sz w:val="24"/>
    </w:rPr>
  </w:style>
  <w:style w:type="character" w:customStyle="1" w:styleId="safety-B-url">
    <w:name w:val="safety-B-url"/>
    <w:locked/>
    <w:rsid w:val="00C43829"/>
    <w:rPr>
      <w:rFonts w:ascii="Akzidenz Grotesk BE Cn" w:hAnsi="Akzidenz Grotesk BE Cn"/>
      <w:color w:val="0C419A"/>
      <w:spacing w:val="0"/>
      <w:sz w:val="20"/>
      <w:u w:val="single"/>
    </w:rPr>
  </w:style>
  <w:style w:type="character" w:styleId="Hyperlink">
    <w:name w:val="Hyperlink"/>
    <w:locked/>
    <w:rsid w:val="00A5481A"/>
    <w:rPr>
      <w:color w:val="0000FF"/>
      <w:u w:val="single"/>
    </w:rPr>
  </w:style>
  <w:style w:type="paragraph" w:customStyle="1" w:styleId="Style1">
    <w:name w:val="Style1"/>
    <w:basedOn w:val="Acutecare-new-agenda-hed"/>
    <w:rsid w:val="00B81EEF"/>
    <w:pPr>
      <w:jc w:val="center"/>
    </w:pPr>
    <w:rPr>
      <w:sz w:val="18"/>
    </w:rPr>
  </w:style>
  <w:style w:type="paragraph" w:customStyle="1" w:styleId="StyleAcutecare-new-agenda-hedCentered">
    <w:name w:val="Style Acutecare-new-agenda-hed + Centered"/>
    <w:basedOn w:val="Acutecare-new-agenda-hed"/>
    <w:rsid w:val="00CC7533"/>
    <w:pPr>
      <w:jc w:val="center"/>
    </w:pPr>
    <w:rPr>
      <w:sz w:val="18"/>
    </w:rPr>
  </w:style>
  <w:style w:type="paragraph" w:customStyle="1" w:styleId="agenda-BODY">
    <w:name w:val="agenda-BODY"/>
    <w:qFormat/>
    <w:rsid w:val="0030067D"/>
    <w:pPr>
      <w:jc w:val="both"/>
    </w:pPr>
    <w:rPr>
      <w:rFonts w:ascii="Univers LT Std 47 Cn Lt" w:hAnsi="Univers LT Std 47 Cn Lt"/>
      <w:sz w:val="19"/>
    </w:rPr>
  </w:style>
  <w:style w:type="paragraph" w:styleId="BalloonText">
    <w:name w:val="Balloon Text"/>
    <w:basedOn w:val="Normal"/>
    <w:link w:val="BalloonTextChar"/>
    <w:locked/>
    <w:rsid w:val="00352199"/>
    <w:rPr>
      <w:rFonts w:ascii="Tahoma" w:hAnsi="Tahoma" w:cs="Tahoma"/>
      <w:sz w:val="16"/>
      <w:szCs w:val="16"/>
    </w:rPr>
  </w:style>
  <w:style w:type="character" w:customStyle="1" w:styleId="BalloonTextChar">
    <w:name w:val="Balloon Text Char"/>
    <w:basedOn w:val="DefaultParagraphFont"/>
    <w:link w:val="BalloonText"/>
    <w:rsid w:val="00352199"/>
    <w:rPr>
      <w:rFonts w:ascii="Tahoma" w:hAnsi="Tahoma" w:cs="Tahoma"/>
      <w:sz w:val="16"/>
      <w:szCs w:val="16"/>
    </w:rPr>
  </w:style>
  <w:style w:type="character" w:styleId="UnresolvedMention">
    <w:name w:val="Unresolved Mention"/>
    <w:basedOn w:val="DefaultParagraphFont"/>
    <w:uiPriority w:val="99"/>
    <w:semiHidden/>
    <w:unhideWhenUsed/>
    <w:rsid w:val="007C176B"/>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926397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Microsoft_Word_97_-_2003_Document.doc"/><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oter" Target="foot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www.ismp.org/sc?id=3101" TargetMode="External"/><Relationship Id="rId4" Type="http://schemas.openxmlformats.org/officeDocument/2006/relationships/webSettings" Target="webSettings.xml"/><Relationship Id="rId9" Type="http://schemas.openxmlformats.org/officeDocument/2006/relationships/image" Target="media/image2.wmf"/><Relationship Id="rId14"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D:\ISMP\ISMP-nl\ismp-community-NL\templates-lib-community\actionAgenda.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AB0A5A-766E-420A-8D1C-17B97DA2CC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actionAgenda</Template>
  <TotalTime>9</TotalTime>
  <Pages>3</Pages>
  <Words>1231</Words>
  <Characters>7189</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ISMP Medication Safety Alert</vt:lpstr>
    </vt:vector>
  </TitlesOfParts>
  <Company>ISMP</Company>
  <LinksUpToDate>false</LinksUpToDate>
  <CharactersWithSpaces>8404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ISMP Medication Safety Alert</dc:title>
  <dc:creator>bob</dc:creator>
  <cp:lastModifiedBy>Michael Gaunt</cp:lastModifiedBy>
  <cp:revision>5</cp:revision>
  <cp:lastPrinted>2006-07-27T04:12:00Z</cp:lastPrinted>
  <dcterms:created xsi:type="dcterms:W3CDTF">2018-09-28T14:02:00Z</dcterms:created>
  <dcterms:modified xsi:type="dcterms:W3CDTF">2018-09-28T14:10:00Z</dcterms:modified>
</cp:coreProperties>
</file>