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3012"/>
    <w:bookmarkStart w:id="1" w:name="_MON_1231184836"/>
    <w:bookmarkStart w:id="2" w:name="_MON_1231184913"/>
    <w:bookmarkStart w:id="3" w:name="_MON_1231523733"/>
    <w:bookmarkStart w:id="4" w:name="_MON_1231523845"/>
    <w:bookmarkStart w:id="5" w:name="_MON_1231523852"/>
    <w:bookmarkStart w:id="6" w:name="_MON_1305047124"/>
    <w:bookmarkStart w:id="7" w:name="_MON_1400005751"/>
    <w:bookmarkStart w:id="8" w:name="_MON_1410287886"/>
    <w:bookmarkStart w:id="9" w:name="_MON_1410287903"/>
    <w:bookmarkStart w:id="10" w:name="_MON_1410287914"/>
    <w:bookmarkStart w:id="11" w:name="_MON_1410287919"/>
    <w:bookmarkStart w:id="12" w:name="_MON_1410287926"/>
    <w:bookmarkStart w:id="13" w:name="_MON_1410287999"/>
    <w:bookmarkStart w:id="14" w:name="_MON_1231182667"/>
    <w:bookmarkStart w:id="15" w:name="_MON_1231182695"/>
    <w:bookmarkStart w:id="16" w:name="_MON_1231182702"/>
    <w:bookmarkStart w:id="17" w:name="_MON_12311827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2944"/>
    <w:bookmarkEnd w:id="18"/>
    <w:p w14:paraId="57E1FD2F" w14:textId="77777777" w:rsidR="00A5481A" w:rsidRDefault="00324E30" w:rsidP="00E325CF">
      <w:pPr>
        <w:ind w:left="-360" w:right="-180"/>
      </w:pPr>
      <w:r w:rsidRPr="00757D59">
        <w:rPr>
          <w:sz w:val="18"/>
        </w:rPr>
        <w:object w:dxaOrig="14700" w:dyaOrig="1680" w14:anchorId="0D964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35pt;height:84pt" o:ole="">
            <v:imagedata r:id="rId7" o:title=""/>
          </v:shape>
          <o:OLEObject Type="Embed" ProgID="Word.Document.8" ShapeID="_x0000_i1028" DrawAspect="Content" ObjectID="_1589180167" r:id="rId8">
            <o:FieldCodes>\s</o:FieldCodes>
          </o:OLEObject>
        </w:object>
      </w:r>
    </w:p>
    <w:tbl>
      <w:tblPr>
        <w:tblW w:w="15035"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312"/>
        <w:gridCol w:w="3312"/>
        <w:gridCol w:w="3299"/>
        <w:gridCol w:w="2880"/>
        <w:gridCol w:w="1440"/>
      </w:tblGrid>
      <w:tr w:rsidR="00BB0667" w:rsidRPr="00324E30" w14:paraId="54309498" w14:textId="77777777" w:rsidTr="00324E30">
        <w:trPr>
          <w:tblHeader/>
          <w:jc w:val="center"/>
        </w:trPr>
        <w:tc>
          <w:tcPr>
            <w:tcW w:w="792" w:type="dxa"/>
            <w:tcBorders>
              <w:top w:val="single" w:sz="4" w:space="0" w:color="0D4D9E"/>
              <w:bottom w:val="single" w:sz="6" w:space="0" w:color="0D4D9E"/>
            </w:tcBorders>
            <w:shd w:val="clear" w:color="auto" w:fill="5D72B5"/>
            <w:vAlign w:val="center"/>
          </w:tcPr>
          <w:p w14:paraId="13BAC633" w14:textId="77777777" w:rsidR="00BB0667" w:rsidRPr="00324E30" w:rsidRDefault="00407D1A" w:rsidP="00324E30">
            <w:pPr>
              <w:pStyle w:val="Acutecare-new-agenda-hed"/>
              <w:jc w:val="center"/>
              <w:rPr>
                <w:rFonts w:asciiTheme="minorHAnsi" w:hAnsiTheme="minorHAnsi" w:cstheme="minorHAnsi"/>
                <w:color w:val="FFFFFF" w:themeColor="background1"/>
                <w:sz w:val="20"/>
              </w:rPr>
            </w:pPr>
            <w:r w:rsidRPr="00324E30">
              <w:rPr>
                <w:rFonts w:asciiTheme="minorHAnsi" w:hAnsiTheme="minorHAnsi" w:cstheme="minorHAnsi"/>
                <w:color w:val="FFFFFF" w:themeColor="background1"/>
                <w:sz w:val="20"/>
              </w:rPr>
              <w:t>Issue</w:t>
            </w:r>
          </w:p>
        </w:tc>
        <w:tc>
          <w:tcPr>
            <w:tcW w:w="3312" w:type="dxa"/>
            <w:tcBorders>
              <w:top w:val="single" w:sz="4" w:space="0" w:color="0D4D9E"/>
              <w:bottom w:val="single" w:sz="6" w:space="0" w:color="0D4D9E"/>
              <w:right w:val="single" w:sz="4" w:space="0" w:color="0D4D9E"/>
            </w:tcBorders>
            <w:shd w:val="clear" w:color="auto" w:fill="0D4D9E"/>
            <w:vAlign w:val="center"/>
          </w:tcPr>
          <w:p w14:paraId="7F5248FF" w14:textId="77777777" w:rsidR="00BB0667" w:rsidRPr="00324E30" w:rsidRDefault="00BB0667" w:rsidP="00324E30">
            <w:pPr>
              <w:pStyle w:val="Acutecare-new-agenda-hed"/>
              <w:jc w:val="center"/>
              <w:rPr>
                <w:rFonts w:asciiTheme="minorHAnsi" w:hAnsiTheme="minorHAnsi" w:cstheme="minorHAnsi"/>
                <w:color w:val="FFFFFF"/>
                <w:sz w:val="20"/>
              </w:rPr>
            </w:pPr>
            <w:r w:rsidRPr="00324E30">
              <w:rPr>
                <w:rFonts w:asciiTheme="minorHAnsi" w:hAnsiTheme="minorHAnsi" w:cstheme="minorHAnsi"/>
                <w:color w:val="FFFFFF"/>
                <w:sz w:val="20"/>
              </w:rPr>
              <w:t>Problem</w:t>
            </w:r>
          </w:p>
        </w:tc>
        <w:tc>
          <w:tcPr>
            <w:tcW w:w="3312" w:type="dxa"/>
            <w:tcBorders>
              <w:top w:val="single" w:sz="4" w:space="0" w:color="0D4D9E"/>
              <w:left w:val="single" w:sz="4" w:space="0" w:color="0D4D9E"/>
              <w:bottom w:val="single" w:sz="6" w:space="0" w:color="0D4D9E"/>
            </w:tcBorders>
            <w:shd w:val="clear" w:color="auto" w:fill="5D72B5"/>
            <w:vAlign w:val="center"/>
          </w:tcPr>
          <w:p w14:paraId="12C760DD" w14:textId="77777777" w:rsidR="00BB0667" w:rsidRPr="00324E30" w:rsidRDefault="00BB0667" w:rsidP="00324E30">
            <w:pPr>
              <w:pStyle w:val="Acutecare-new-agenda-hed"/>
              <w:jc w:val="center"/>
              <w:rPr>
                <w:rFonts w:asciiTheme="minorHAnsi" w:hAnsiTheme="minorHAnsi" w:cstheme="minorHAnsi"/>
                <w:color w:val="FFFFFF"/>
                <w:sz w:val="20"/>
              </w:rPr>
            </w:pPr>
            <w:r w:rsidRPr="00324E30">
              <w:rPr>
                <w:rFonts w:asciiTheme="minorHAnsi" w:hAnsiTheme="minorHAnsi" w:cstheme="minorHAnsi"/>
                <w:color w:val="FFFFFF"/>
                <w:sz w:val="20"/>
              </w:rPr>
              <w:t>Recommendation</w:t>
            </w:r>
          </w:p>
        </w:tc>
        <w:tc>
          <w:tcPr>
            <w:tcW w:w="3299" w:type="dxa"/>
            <w:tcBorders>
              <w:top w:val="single" w:sz="4" w:space="0" w:color="0D4D9E"/>
              <w:bottom w:val="single" w:sz="6" w:space="0" w:color="0D4D9E"/>
            </w:tcBorders>
            <w:shd w:val="clear" w:color="auto" w:fill="0D4D9E"/>
            <w:vAlign w:val="center"/>
          </w:tcPr>
          <w:p w14:paraId="05DBCC70" w14:textId="77777777" w:rsidR="00BB0667" w:rsidRPr="00324E30" w:rsidRDefault="00BB0667" w:rsidP="00324E30">
            <w:pPr>
              <w:pStyle w:val="Acutecare-new-agenda-hed"/>
              <w:jc w:val="center"/>
              <w:rPr>
                <w:rFonts w:asciiTheme="minorHAnsi" w:hAnsiTheme="minorHAnsi" w:cstheme="minorHAnsi"/>
                <w:color w:val="FFFFFF"/>
                <w:sz w:val="20"/>
              </w:rPr>
            </w:pPr>
            <w:r w:rsidRPr="00324E30">
              <w:rPr>
                <w:rFonts w:asciiTheme="minorHAnsi" w:hAnsiTheme="minorHAnsi" w:cstheme="minorHAnsi"/>
                <w:color w:val="FFFFFF"/>
                <w:sz w:val="20"/>
              </w:rPr>
              <w:t>Organization Assessment</w:t>
            </w:r>
          </w:p>
        </w:tc>
        <w:tc>
          <w:tcPr>
            <w:tcW w:w="2880" w:type="dxa"/>
            <w:tcBorders>
              <w:top w:val="single" w:sz="4" w:space="0" w:color="0D4D9E"/>
              <w:bottom w:val="single" w:sz="6" w:space="0" w:color="0D4D9E"/>
            </w:tcBorders>
            <w:shd w:val="clear" w:color="auto" w:fill="5D72B5"/>
            <w:vAlign w:val="center"/>
          </w:tcPr>
          <w:p w14:paraId="5C3EA978" w14:textId="77777777" w:rsidR="00BB0667" w:rsidRPr="00324E30" w:rsidRDefault="00BB0667" w:rsidP="00324E30">
            <w:pPr>
              <w:pStyle w:val="Acutecare-new-agenda-hed"/>
              <w:jc w:val="center"/>
              <w:rPr>
                <w:rFonts w:asciiTheme="minorHAnsi" w:hAnsiTheme="minorHAnsi" w:cstheme="minorHAnsi"/>
                <w:color w:val="FFFFFF"/>
                <w:sz w:val="20"/>
              </w:rPr>
            </w:pPr>
            <w:r w:rsidRPr="00324E30">
              <w:rPr>
                <w:rFonts w:asciiTheme="minorHAnsi" w:hAnsiTheme="minorHAnsi" w:cstheme="minorHAnsi"/>
                <w:color w:val="FFFFFF"/>
                <w:sz w:val="20"/>
              </w:rPr>
              <w:t>Action Required/</w:t>
            </w:r>
            <w:r w:rsidR="008219D3" w:rsidRPr="00324E30">
              <w:rPr>
                <w:rFonts w:asciiTheme="minorHAnsi" w:hAnsiTheme="minorHAnsi" w:cstheme="minorHAnsi"/>
                <w:color w:val="FFFFFF"/>
                <w:sz w:val="20"/>
              </w:rPr>
              <w:t xml:space="preserve"> </w:t>
            </w:r>
            <w:r w:rsidRPr="00324E30">
              <w:rPr>
                <w:rFonts w:asciiTheme="minorHAnsi" w:hAnsiTheme="minorHAnsi" w:cstheme="minorHAnsi"/>
                <w:color w:val="FFFFFF"/>
                <w:sz w:val="20"/>
              </w:rPr>
              <w:t>Assignment</w:t>
            </w:r>
          </w:p>
        </w:tc>
        <w:tc>
          <w:tcPr>
            <w:tcW w:w="1440" w:type="dxa"/>
            <w:tcBorders>
              <w:top w:val="single" w:sz="4" w:space="0" w:color="0D4D9E"/>
              <w:bottom w:val="single" w:sz="6" w:space="0" w:color="0D4D9E"/>
            </w:tcBorders>
            <w:shd w:val="clear" w:color="auto" w:fill="0D4D9E"/>
            <w:vAlign w:val="center"/>
          </w:tcPr>
          <w:p w14:paraId="6AF8570E" w14:textId="77777777" w:rsidR="00BB0667" w:rsidRPr="00324E30" w:rsidRDefault="00BB0667" w:rsidP="00324E30">
            <w:pPr>
              <w:pStyle w:val="Acutecare-new-agenda-hed"/>
              <w:jc w:val="center"/>
              <w:rPr>
                <w:rFonts w:asciiTheme="minorHAnsi" w:hAnsiTheme="minorHAnsi" w:cstheme="minorHAnsi"/>
                <w:color w:val="FFFFFF"/>
                <w:sz w:val="20"/>
              </w:rPr>
            </w:pPr>
            <w:r w:rsidRPr="00324E30">
              <w:rPr>
                <w:rFonts w:asciiTheme="minorHAnsi" w:hAnsiTheme="minorHAnsi" w:cstheme="minorHAnsi"/>
                <w:color w:val="FFFFFF"/>
                <w:sz w:val="20"/>
              </w:rPr>
              <w:t>Date Completed</w:t>
            </w:r>
          </w:p>
        </w:tc>
      </w:tr>
      <w:tr w:rsidR="00481D01" w:rsidRPr="00324E30" w14:paraId="2409C53A" w14:textId="77777777" w:rsidTr="00324E30">
        <w:trPr>
          <w:jc w:val="center"/>
        </w:trPr>
        <w:tc>
          <w:tcPr>
            <w:tcW w:w="15035" w:type="dxa"/>
            <w:gridSpan w:val="6"/>
            <w:tcBorders>
              <w:top w:val="single" w:sz="6" w:space="0" w:color="0D4D9E"/>
              <w:bottom w:val="single" w:sz="6" w:space="0" w:color="0D4D9E"/>
            </w:tcBorders>
            <w:shd w:val="clear" w:color="auto" w:fill="BBCEEB"/>
          </w:tcPr>
          <w:p w14:paraId="66C16342" w14:textId="77777777" w:rsidR="00481D01" w:rsidRPr="00324E30" w:rsidRDefault="0067063E" w:rsidP="00AD200C">
            <w:pPr>
              <w:pStyle w:val="Acutecare-new-agenda-hed"/>
              <w:jc w:val="center"/>
              <w:rPr>
                <w:rFonts w:asciiTheme="minorHAnsi" w:hAnsiTheme="minorHAnsi" w:cstheme="minorHAnsi"/>
                <w:bCs/>
                <w:sz w:val="20"/>
              </w:rPr>
            </w:pPr>
            <w:r w:rsidRPr="00324E30">
              <w:rPr>
                <w:rFonts w:asciiTheme="minorHAnsi" w:hAnsiTheme="minorHAnsi" w:cstheme="minorHAnsi"/>
                <w:sz w:val="20"/>
              </w:rPr>
              <w:t>Confusing requirements for SHINGRIX (zoster vaccine recombinant, adjuvanted) with those for ZOSTAVAX (zoster vaccine live)</w:t>
            </w:r>
          </w:p>
        </w:tc>
      </w:tr>
      <w:tr w:rsidR="0067063E" w:rsidRPr="00324E30" w14:paraId="4BD76997" w14:textId="77777777" w:rsidTr="00324E30">
        <w:trPr>
          <w:jc w:val="center"/>
        </w:trPr>
        <w:tc>
          <w:tcPr>
            <w:tcW w:w="792" w:type="dxa"/>
            <w:tcBorders>
              <w:top w:val="single" w:sz="6" w:space="0" w:color="0D4D9E"/>
              <w:bottom w:val="single" w:sz="6" w:space="0" w:color="0D4D9E"/>
            </w:tcBorders>
            <w:shd w:val="clear" w:color="auto" w:fill="F0EBD3"/>
          </w:tcPr>
          <w:p w14:paraId="25E00B47" w14:textId="77777777" w:rsidR="0067063E" w:rsidRPr="00324E30" w:rsidRDefault="0067063E" w:rsidP="00FE79D0">
            <w:pPr>
              <w:pStyle w:val="agenda-BODY"/>
              <w:rPr>
                <w:rFonts w:asciiTheme="minorHAnsi" w:hAnsiTheme="minorHAnsi" w:cstheme="minorHAnsi"/>
                <w:sz w:val="20"/>
              </w:rPr>
            </w:pPr>
            <w:r w:rsidRPr="00324E30">
              <w:rPr>
                <w:rFonts w:asciiTheme="minorHAnsi" w:hAnsiTheme="minorHAnsi" w:cstheme="minorHAnsi"/>
                <w:sz w:val="20"/>
              </w:rPr>
              <w:t>02/18</w:t>
            </w:r>
          </w:p>
        </w:tc>
        <w:tc>
          <w:tcPr>
            <w:tcW w:w="3312" w:type="dxa"/>
            <w:tcBorders>
              <w:top w:val="single" w:sz="6" w:space="0" w:color="0D4D9E"/>
              <w:bottom w:val="single" w:sz="6" w:space="0" w:color="0D4D9E"/>
            </w:tcBorders>
            <w:shd w:val="clear" w:color="auto" w:fill="FFF3D6"/>
          </w:tcPr>
          <w:p w14:paraId="1F1D6807" w14:textId="77777777" w:rsidR="0067063E" w:rsidRPr="0032227C" w:rsidRDefault="0067063E"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Different storage requirements, components/diluents, and routes of administration for the newly approved Shingrix and the more familiar Zostavax have led to errors. Shingrix lyophilized antigen and adjuvant suspension must both be refrigerated, while Zostavax lyophilized vaccine must be kept frozen, and the included sterile water diluent kept refrigerated or at room temperature. Shingrix is given intramuscularly while Zostavax is given subcutaneously.</w:t>
            </w:r>
          </w:p>
          <w:p w14:paraId="462CA817" w14:textId="77777777" w:rsidR="00324E30" w:rsidRPr="00324E30" w:rsidRDefault="00324E30" w:rsidP="00324E30">
            <w:pPr>
              <w:pStyle w:val="agenda-BODY"/>
              <w:rPr>
                <w:rFonts w:asciiTheme="minorHAnsi" w:eastAsia="Univers LT Std 47 Cn Lt" w:hAnsiTheme="minorHAnsi" w:cstheme="minorHAnsi"/>
                <w:w w:val="110"/>
                <w:sz w:val="20"/>
              </w:rPr>
            </w:pPr>
          </w:p>
        </w:tc>
        <w:tc>
          <w:tcPr>
            <w:tcW w:w="3312" w:type="dxa"/>
            <w:tcBorders>
              <w:top w:val="single" w:sz="6" w:space="0" w:color="0D4D9E"/>
              <w:bottom w:val="single" w:sz="6" w:space="0" w:color="0D4D9E"/>
            </w:tcBorders>
            <w:shd w:val="clear" w:color="auto" w:fill="F0EBD3"/>
          </w:tcPr>
          <w:p w14:paraId="3A394223" w14:textId="77777777" w:rsidR="0067063E" w:rsidRPr="00324E30" w:rsidRDefault="0067063E" w:rsidP="00324E30">
            <w:pPr>
              <w:pStyle w:val="agenda-BODY"/>
              <w:rPr>
                <w:rFonts w:asciiTheme="minorHAnsi" w:hAnsiTheme="minorHAnsi" w:cstheme="minorHAnsi"/>
                <w:sz w:val="20"/>
              </w:rPr>
            </w:pPr>
            <w:r w:rsidRPr="0032227C">
              <w:rPr>
                <w:rFonts w:asciiTheme="minorHAnsi" w:hAnsiTheme="minorHAnsi" w:cstheme="minorHAnsi"/>
                <w:spacing w:val="-3"/>
                <w:sz w:val="20"/>
              </w:rPr>
              <w:t>Educate staff about the differences between Shingrix and Zostavax. Label the storage bins/shelves using the updated Centers for Disease Control and Prevention (CDC) vaccine labels, which draw attention to the di</w:t>
            </w:r>
            <w:r w:rsidR="00324E30" w:rsidRPr="0032227C">
              <w:rPr>
                <w:rFonts w:asciiTheme="minorHAnsi" w:hAnsiTheme="minorHAnsi" w:cstheme="minorHAnsi"/>
                <w:spacing w:val="-3"/>
                <w:sz w:val="20"/>
              </w:rPr>
              <w:t xml:space="preserve">fferences in storage, component/ </w:t>
            </w:r>
            <w:r w:rsidRPr="0032227C">
              <w:rPr>
                <w:rFonts w:asciiTheme="minorHAnsi" w:hAnsiTheme="minorHAnsi" w:cstheme="minorHAnsi"/>
                <w:spacing w:val="-3"/>
                <w:sz w:val="20"/>
              </w:rPr>
              <w:t>diluent, and routes of administration</w:t>
            </w:r>
            <w:r w:rsidR="0032227C" w:rsidRPr="0032227C">
              <w:rPr>
                <w:rFonts w:asciiTheme="minorHAnsi" w:hAnsiTheme="minorHAnsi" w:cstheme="minorHAnsi"/>
                <w:spacing w:val="-3"/>
                <w:sz w:val="20"/>
              </w:rPr>
              <w:t xml:space="preserve"> (</w:t>
            </w:r>
            <w:hyperlink r:id="rId9" w:history="1">
              <w:r w:rsidR="0032227C" w:rsidRPr="00FB7C6A">
                <w:rPr>
                  <w:rStyle w:val="Hyperlink"/>
                  <w:rFonts w:asciiTheme="minorHAnsi" w:hAnsiTheme="minorHAnsi" w:cstheme="minorHAnsi"/>
                  <w:spacing w:val="-3"/>
                  <w:sz w:val="20"/>
                </w:rPr>
                <w:t>www.ismp.org/sc?id=3101</w:t>
              </w:r>
            </w:hyperlink>
            <w:r w:rsidR="0032227C" w:rsidRPr="0032227C">
              <w:rPr>
                <w:rFonts w:asciiTheme="minorHAnsi" w:hAnsiTheme="minorHAnsi" w:cstheme="minorHAnsi"/>
                <w:spacing w:val="-3"/>
                <w:sz w:val="20"/>
              </w:rPr>
              <w:t>)</w:t>
            </w:r>
            <w:r w:rsidRPr="0032227C">
              <w:rPr>
                <w:rFonts w:asciiTheme="minorHAnsi" w:hAnsiTheme="minorHAnsi" w:cstheme="minorHAnsi"/>
                <w:spacing w:val="-3"/>
                <w:sz w:val="20"/>
              </w:rPr>
              <w:t>. Store the Shingrix lyophilized component and adjuvant suspension together to reduce the risk of using the wrong diluent.</w:t>
            </w:r>
          </w:p>
        </w:tc>
        <w:tc>
          <w:tcPr>
            <w:tcW w:w="3299" w:type="dxa"/>
            <w:tcBorders>
              <w:top w:val="single" w:sz="6" w:space="0" w:color="0D4D9E"/>
              <w:bottom w:val="single" w:sz="6" w:space="0" w:color="0D4D9E"/>
            </w:tcBorders>
            <w:shd w:val="clear" w:color="auto" w:fill="FFFFFF"/>
          </w:tcPr>
          <w:p w14:paraId="41AB1301" w14:textId="77777777" w:rsidR="0067063E" w:rsidRPr="00324E30" w:rsidRDefault="0067063E" w:rsidP="00B36686">
            <w:pPr>
              <w:pStyle w:val="AC-table-body"/>
              <w:tabs>
                <w:tab w:val="clear" w:pos="5735"/>
                <w:tab w:val="clear" w:pos="7906"/>
                <w:tab w:val="clear" w:pos="10080"/>
              </w:tabs>
              <w:rPr>
                <w:rFonts w:asciiTheme="minorHAnsi" w:hAnsiTheme="minorHAnsi" w:cstheme="minorHAnsi"/>
              </w:rPr>
            </w:pPr>
          </w:p>
        </w:tc>
        <w:tc>
          <w:tcPr>
            <w:tcW w:w="2880" w:type="dxa"/>
            <w:tcBorders>
              <w:top w:val="single" w:sz="6" w:space="0" w:color="0D4D9E"/>
              <w:bottom w:val="single" w:sz="6" w:space="0" w:color="0D4D9E"/>
            </w:tcBorders>
            <w:shd w:val="clear" w:color="auto" w:fill="FFFFFF"/>
          </w:tcPr>
          <w:p w14:paraId="5B04E27B" w14:textId="77777777" w:rsidR="0067063E" w:rsidRPr="00324E30" w:rsidRDefault="0067063E" w:rsidP="00B36686">
            <w:pPr>
              <w:pStyle w:val="AC-table-body"/>
              <w:tabs>
                <w:tab w:val="clear" w:pos="5735"/>
                <w:tab w:val="clear" w:pos="7906"/>
                <w:tab w:val="clear" w:pos="10080"/>
              </w:tabs>
              <w:rPr>
                <w:rFonts w:asciiTheme="minorHAnsi" w:hAnsiTheme="minorHAnsi" w:cstheme="minorHAnsi"/>
              </w:rPr>
            </w:pPr>
          </w:p>
        </w:tc>
        <w:tc>
          <w:tcPr>
            <w:tcW w:w="1440" w:type="dxa"/>
            <w:tcBorders>
              <w:top w:val="single" w:sz="6" w:space="0" w:color="0D4D9E"/>
              <w:bottom w:val="single" w:sz="6" w:space="0" w:color="0D4D9E"/>
            </w:tcBorders>
            <w:shd w:val="clear" w:color="auto" w:fill="FFFFFF"/>
          </w:tcPr>
          <w:p w14:paraId="65716FB5" w14:textId="77777777" w:rsidR="0067063E" w:rsidRPr="00324E30" w:rsidRDefault="0067063E" w:rsidP="00B36686">
            <w:pPr>
              <w:pStyle w:val="AC-table-body"/>
              <w:tabs>
                <w:tab w:val="clear" w:pos="5735"/>
                <w:tab w:val="clear" w:pos="7906"/>
                <w:tab w:val="clear" w:pos="10080"/>
              </w:tabs>
              <w:rPr>
                <w:rFonts w:asciiTheme="minorHAnsi" w:hAnsiTheme="minorHAnsi" w:cstheme="minorHAnsi"/>
              </w:rPr>
            </w:pPr>
          </w:p>
        </w:tc>
      </w:tr>
      <w:tr w:rsidR="00481D01" w:rsidRPr="00324E30" w14:paraId="2745FBE8" w14:textId="77777777" w:rsidTr="00324E30">
        <w:trPr>
          <w:jc w:val="center"/>
        </w:trPr>
        <w:tc>
          <w:tcPr>
            <w:tcW w:w="15035" w:type="dxa"/>
            <w:gridSpan w:val="6"/>
            <w:tcBorders>
              <w:top w:val="single" w:sz="6" w:space="0" w:color="0D4D9E"/>
              <w:bottom w:val="single" w:sz="6" w:space="0" w:color="0D4D9E"/>
            </w:tcBorders>
            <w:shd w:val="clear" w:color="auto" w:fill="BBCEEB"/>
          </w:tcPr>
          <w:p w14:paraId="21FAA2D8" w14:textId="77777777" w:rsidR="00481D01" w:rsidRPr="00324E30" w:rsidRDefault="0067063E" w:rsidP="00481D01">
            <w:pPr>
              <w:pStyle w:val="Acutecare-new-agenda-hed"/>
              <w:tabs>
                <w:tab w:val="clear" w:pos="5735"/>
                <w:tab w:val="clear" w:pos="7906"/>
                <w:tab w:val="clear" w:pos="10080"/>
              </w:tabs>
              <w:jc w:val="center"/>
              <w:rPr>
                <w:rFonts w:asciiTheme="minorHAnsi" w:hAnsiTheme="minorHAnsi" w:cstheme="minorHAnsi"/>
                <w:b w:val="0"/>
                <w:sz w:val="20"/>
              </w:rPr>
            </w:pPr>
            <w:r w:rsidRPr="00324E30">
              <w:rPr>
                <w:rFonts w:asciiTheme="minorHAnsi" w:hAnsiTheme="minorHAnsi" w:cstheme="minorHAnsi"/>
                <w:sz w:val="20"/>
              </w:rPr>
              <w:t>Nurse order entry error</w:t>
            </w:r>
          </w:p>
        </w:tc>
      </w:tr>
      <w:tr w:rsidR="0067063E" w:rsidRPr="00324E30" w14:paraId="28CBF473" w14:textId="77777777" w:rsidTr="00324E30">
        <w:trPr>
          <w:jc w:val="center"/>
        </w:trPr>
        <w:tc>
          <w:tcPr>
            <w:tcW w:w="792" w:type="dxa"/>
            <w:tcBorders>
              <w:top w:val="single" w:sz="6" w:space="0" w:color="0D4D9E"/>
              <w:bottom w:val="single" w:sz="6" w:space="0" w:color="0D4D9E"/>
            </w:tcBorders>
            <w:shd w:val="clear" w:color="auto" w:fill="F0EBD3"/>
          </w:tcPr>
          <w:p w14:paraId="42DDB90A" w14:textId="77777777" w:rsidR="0067063E" w:rsidRPr="00324E30" w:rsidRDefault="0067063E" w:rsidP="00EE1B61">
            <w:pPr>
              <w:pStyle w:val="agenda-BODY"/>
              <w:rPr>
                <w:rFonts w:asciiTheme="minorHAnsi" w:eastAsia="Univers LT Std 57 Cn" w:hAnsiTheme="minorHAnsi" w:cstheme="minorHAnsi"/>
                <w:w w:val="110"/>
                <w:sz w:val="20"/>
              </w:rPr>
            </w:pPr>
            <w:r w:rsidRPr="00324E30">
              <w:rPr>
                <w:rFonts w:asciiTheme="minorHAnsi" w:eastAsia="Univers LT Std 47 Cn Lt" w:hAnsiTheme="minorHAnsi" w:cstheme="minorHAnsi"/>
                <w:w w:val="110"/>
                <w:sz w:val="20"/>
              </w:rPr>
              <w:t>04/18</w:t>
            </w:r>
          </w:p>
        </w:tc>
        <w:tc>
          <w:tcPr>
            <w:tcW w:w="3312" w:type="dxa"/>
            <w:tcBorders>
              <w:top w:val="single" w:sz="6" w:space="0" w:color="0D4D9E"/>
              <w:bottom w:val="single" w:sz="6" w:space="0" w:color="0D4D9E"/>
            </w:tcBorders>
            <w:shd w:val="clear" w:color="auto" w:fill="FFF3D6"/>
          </w:tcPr>
          <w:p w14:paraId="4F109298" w14:textId="77777777" w:rsidR="0067063E" w:rsidRPr="0032227C" w:rsidRDefault="0067063E"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 xml:space="preserve">A hospice patient was ordered morphine sulfate concentrated oral solution 100 mg per 5 mL, 5 mg (0.25 mL) every 4 hours sublingually. The patient’s nurse called the pharmacy to request morphine 100 mg per 5 mL, promising to send an electronic order soon afterwards. When entering the order, the nurse could not find the correct concentration. Feeling rushed, she selected morphine solution 10 mg/5 mL and entered instructions for “2.5 mL (5 mg)” subcutaneously. This information was transmitted to the </w:t>
            </w:r>
            <w:r w:rsidRPr="0032227C">
              <w:rPr>
                <w:rFonts w:asciiTheme="minorHAnsi" w:hAnsiTheme="minorHAnsi" w:cstheme="minorHAnsi"/>
                <w:spacing w:val="-3"/>
                <w:sz w:val="20"/>
              </w:rPr>
              <w:lastRenderedPageBreak/>
              <w:t>pharmacy, without prescriber review, and appeared on the electronic medication administration record. The facility’s electronic health record automatically placed the name of the physician in the field, “doctor signed electronically.” The potential 10-fold overdose was caught before reaching the patient.</w:t>
            </w:r>
          </w:p>
          <w:p w14:paraId="49D4A284" w14:textId="77777777" w:rsidR="00324E30" w:rsidRPr="0032227C" w:rsidRDefault="00324E30" w:rsidP="00324E30">
            <w:pPr>
              <w:pStyle w:val="agenda-BODY"/>
              <w:rPr>
                <w:rFonts w:asciiTheme="minorHAnsi" w:hAnsiTheme="minorHAnsi" w:cstheme="minorHAnsi"/>
                <w:spacing w:val="-3"/>
                <w:sz w:val="20"/>
              </w:rPr>
            </w:pPr>
          </w:p>
        </w:tc>
        <w:tc>
          <w:tcPr>
            <w:tcW w:w="3312" w:type="dxa"/>
            <w:tcBorders>
              <w:top w:val="single" w:sz="6" w:space="0" w:color="0D4D9E"/>
              <w:bottom w:val="single" w:sz="6" w:space="0" w:color="0D4D9E"/>
            </w:tcBorders>
            <w:shd w:val="clear" w:color="auto" w:fill="F0EBD3"/>
          </w:tcPr>
          <w:p w14:paraId="7D6B7EDC" w14:textId="77777777" w:rsidR="0067063E" w:rsidRPr="0032227C" w:rsidRDefault="0067063E"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lastRenderedPageBreak/>
              <w:t xml:space="preserve">Prescribers should enter orders directly into the electronic prescribing system. Do not use “auto verification” in which the prescriber’s signature appears on nurse-entered orders before they are verified. Avoid using the comment field to clarify electronic orders since the pharmacist may miss the information or the interface may not properly transmit the information. Staff and prescribers should seek assistance if they cannot enter the correct drug, dose, or frequency into the electronic prescribing application. Report close </w:t>
            </w:r>
            <w:r w:rsidRPr="0032227C">
              <w:rPr>
                <w:rFonts w:asciiTheme="minorHAnsi" w:hAnsiTheme="minorHAnsi" w:cstheme="minorHAnsi"/>
                <w:spacing w:val="-3"/>
                <w:sz w:val="20"/>
              </w:rPr>
              <w:lastRenderedPageBreak/>
              <w:t>calls and actual errors involving electronic prescribing to the ISMP National Medication Errors Reporting Program (</w:t>
            </w:r>
            <w:hyperlink r:id="rId10" w:history="1">
              <w:r w:rsidR="0032227C" w:rsidRPr="00FB7C6A">
                <w:rPr>
                  <w:rStyle w:val="Hyperlink"/>
                  <w:rFonts w:asciiTheme="minorHAnsi" w:hAnsiTheme="minorHAnsi" w:cstheme="minorHAnsi"/>
                  <w:spacing w:val="-3"/>
                  <w:sz w:val="20"/>
                </w:rPr>
                <w:t>www.ismp.org/merp</w:t>
              </w:r>
            </w:hyperlink>
            <w:r w:rsidRPr="0032227C">
              <w:rPr>
                <w:rFonts w:asciiTheme="minorHAnsi" w:hAnsiTheme="minorHAnsi" w:cstheme="minorHAnsi"/>
                <w:spacing w:val="-3"/>
                <w:sz w:val="20"/>
              </w:rPr>
              <w:t>).</w:t>
            </w:r>
          </w:p>
        </w:tc>
        <w:tc>
          <w:tcPr>
            <w:tcW w:w="3299" w:type="dxa"/>
            <w:tcBorders>
              <w:top w:val="single" w:sz="6" w:space="0" w:color="0D4D9E"/>
              <w:bottom w:val="single" w:sz="6" w:space="0" w:color="0D4D9E"/>
            </w:tcBorders>
            <w:shd w:val="clear" w:color="auto" w:fill="FFFFFF"/>
          </w:tcPr>
          <w:p w14:paraId="1FEEC71E" w14:textId="77777777" w:rsidR="0067063E" w:rsidRPr="00324E30" w:rsidRDefault="0067063E"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265993DB" w14:textId="77777777" w:rsidR="0067063E" w:rsidRPr="00324E30" w:rsidRDefault="0067063E"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5589F6C0" w14:textId="77777777" w:rsidR="0067063E" w:rsidRPr="00324E30" w:rsidRDefault="0067063E" w:rsidP="00B36686">
            <w:pPr>
              <w:pStyle w:val="Acutecare-new-agenda-hed"/>
              <w:tabs>
                <w:tab w:val="clear" w:pos="5735"/>
                <w:tab w:val="clear" w:pos="7906"/>
                <w:tab w:val="clear" w:pos="10080"/>
              </w:tabs>
              <w:rPr>
                <w:rFonts w:asciiTheme="minorHAnsi" w:hAnsiTheme="minorHAnsi" w:cstheme="minorHAnsi"/>
                <w:sz w:val="20"/>
              </w:rPr>
            </w:pPr>
          </w:p>
        </w:tc>
      </w:tr>
      <w:tr w:rsidR="0063613F" w:rsidRPr="00324E30" w14:paraId="1151ACC6" w14:textId="77777777" w:rsidTr="00324E30">
        <w:trPr>
          <w:jc w:val="center"/>
        </w:trPr>
        <w:tc>
          <w:tcPr>
            <w:tcW w:w="15035" w:type="dxa"/>
            <w:gridSpan w:val="6"/>
            <w:tcBorders>
              <w:top w:val="single" w:sz="6" w:space="0" w:color="0D4D9E"/>
              <w:bottom w:val="single" w:sz="6" w:space="0" w:color="0D4D9E"/>
            </w:tcBorders>
            <w:shd w:val="clear" w:color="auto" w:fill="BBCEEB"/>
          </w:tcPr>
          <w:p w14:paraId="336DAB4E" w14:textId="77777777" w:rsidR="0063613F" w:rsidRPr="00324E30" w:rsidRDefault="00DB1EA4" w:rsidP="0063613F">
            <w:pPr>
              <w:pStyle w:val="Acutecare-new-agenda-hed"/>
              <w:tabs>
                <w:tab w:val="clear" w:pos="5735"/>
                <w:tab w:val="clear" w:pos="7906"/>
                <w:tab w:val="clear" w:pos="10080"/>
              </w:tabs>
              <w:jc w:val="center"/>
              <w:rPr>
                <w:rFonts w:asciiTheme="minorHAnsi" w:hAnsiTheme="minorHAnsi" w:cstheme="minorHAnsi"/>
                <w:sz w:val="20"/>
              </w:rPr>
            </w:pPr>
            <w:r w:rsidRPr="00324E30">
              <w:rPr>
                <w:rFonts w:asciiTheme="minorHAnsi" w:hAnsiTheme="minorHAnsi" w:cstheme="minorHAnsi"/>
                <w:sz w:val="20"/>
              </w:rPr>
              <w:t>Confusion between SANDIMMUNE (cycloSPORINE) and NEORAL or GENGRAF (cycloSPORINE [MODIFIED])</w:t>
            </w:r>
          </w:p>
        </w:tc>
      </w:tr>
      <w:tr w:rsidR="00DB1EA4" w:rsidRPr="00324E30" w14:paraId="0455FE79" w14:textId="77777777" w:rsidTr="00324E30">
        <w:trPr>
          <w:jc w:val="center"/>
        </w:trPr>
        <w:tc>
          <w:tcPr>
            <w:tcW w:w="792" w:type="dxa"/>
            <w:tcBorders>
              <w:top w:val="single" w:sz="6" w:space="0" w:color="0D4D9E"/>
              <w:bottom w:val="single" w:sz="6" w:space="0" w:color="0D4D9E"/>
            </w:tcBorders>
            <w:shd w:val="clear" w:color="auto" w:fill="F0EBD3"/>
          </w:tcPr>
          <w:p w14:paraId="055DEED1" w14:textId="77777777" w:rsidR="00EE1B61" w:rsidRPr="00324E30" w:rsidRDefault="00DB1EA4" w:rsidP="00EE1B61">
            <w:pPr>
              <w:pStyle w:val="agenda-BODY"/>
              <w:rPr>
                <w:rFonts w:asciiTheme="minorHAnsi" w:eastAsia="Univers LT Std 47 Cn Lt" w:hAnsiTheme="minorHAnsi" w:cstheme="minorHAnsi"/>
                <w:w w:val="110"/>
                <w:sz w:val="20"/>
              </w:rPr>
            </w:pPr>
            <w:r w:rsidRPr="00324E30">
              <w:rPr>
                <w:rFonts w:asciiTheme="minorHAnsi" w:hAnsiTheme="minorHAnsi" w:cstheme="minorHAnsi"/>
                <w:sz w:val="20"/>
              </w:rPr>
              <w:t>03/18</w:t>
            </w:r>
          </w:p>
          <w:p w14:paraId="7F9F74F4" w14:textId="77777777" w:rsidR="00DB1EA4" w:rsidRPr="00324E30" w:rsidRDefault="00EE1B61" w:rsidP="00EE1B61">
            <w:pPr>
              <w:pStyle w:val="agenda-BODY"/>
              <w:rPr>
                <w:rFonts w:asciiTheme="minorHAnsi" w:hAnsiTheme="minorHAnsi" w:cstheme="minorHAnsi"/>
                <w:sz w:val="20"/>
              </w:rPr>
            </w:pPr>
            <w:r w:rsidRPr="00324E30">
              <w:rPr>
                <w:rFonts w:asciiTheme="minorHAnsi" w:eastAsia="Akzidenz Grotesk BE Cn" w:hAnsiTheme="minorHAnsi" w:cstheme="minorHAnsi"/>
                <w:noProof/>
                <w:sz w:val="20"/>
              </w:rPr>
              <w:drawing>
                <wp:inline distT="0" distB="0" distL="0" distR="0" wp14:anchorId="5FDB4670" wp14:editId="7A2A2727">
                  <wp:extent cx="167005" cy="127000"/>
                  <wp:effectExtent l="0" t="0" r="4445" b="6350"/>
                  <wp:docPr id="1" name="Picture 1"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312" w:type="dxa"/>
            <w:tcBorders>
              <w:top w:val="single" w:sz="6" w:space="0" w:color="0D4D9E"/>
              <w:bottom w:val="single" w:sz="6" w:space="0" w:color="0D4D9E"/>
            </w:tcBorders>
            <w:shd w:val="clear" w:color="auto" w:fill="FFF3D6"/>
          </w:tcPr>
          <w:p w14:paraId="2356BB37" w14:textId="77777777" w:rsidR="00B328BD" w:rsidRPr="0032227C" w:rsidRDefault="00DB1EA4"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Sand</w:t>
            </w:r>
            <w:r w:rsidRPr="0032227C">
              <w:rPr>
                <w:rFonts w:asciiTheme="minorHAnsi" w:hAnsiTheme="minorHAnsi" w:cstheme="minorHAnsi"/>
                <w:b/>
                <w:spacing w:val="-3"/>
                <w:sz w:val="20"/>
              </w:rPr>
              <w:t>IMMUNE</w:t>
            </w:r>
            <w:r w:rsidRPr="0032227C">
              <w:rPr>
                <w:rFonts w:asciiTheme="minorHAnsi" w:hAnsiTheme="minorHAnsi" w:cstheme="minorHAnsi"/>
                <w:spacing w:val="-3"/>
                <w:sz w:val="20"/>
              </w:rPr>
              <w:t xml:space="preserve"> is a nonmodified form of cyclo</w:t>
            </w:r>
            <w:r w:rsidRPr="0032227C">
              <w:rPr>
                <w:rFonts w:asciiTheme="minorHAnsi" w:hAnsiTheme="minorHAnsi" w:cstheme="minorHAnsi"/>
                <w:b/>
                <w:spacing w:val="-3"/>
                <w:sz w:val="20"/>
              </w:rPr>
              <w:t>SPORINE</w:t>
            </w:r>
            <w:r w:rsidRPr="0032227C">
              <w:rPr>
                <w:rFonts w:asciiTheme="minorHAnsi" w:hAnsiTheme="minorHAnsi" w:cstheme="minorHAnsi"/>
                <w:spacing w:val="-3"/>
                <w:sz w:val="20"/>
              </w:rPr>
              <w:t xml:space="preserve"> that has decreased bioavailability compared to Neoral or Gengraf capsules and oral solution. These are not interchangeable, yet patients often receive </w:t>
            </w:r>
            <w:r w:rsidR="0032227C" w:rsidRPr="0032227C">
              <w:rPr>
                <w:rFonts w:asciiTheme="minorHAnsi" w:hAnsiTheme="minorHAnsi" w:cstheme="minorHAnsi"/>
                <w:spacing w:val="-3"/>
                <w:sz w:val="20"/>
              </w:rPr>
              <w:t>Sand</w:t>
            </w:r>
            <w:r w:rsidR="0032227C" w:rsidRPr="0032227C">
              <w:rPr>
                <w:rFonts w:asciiTheme="minorHAnsi" w:hAnsiTheme="minorHAnsi" w:cstheme="minorHAnsi"/>
                <w:b/>
                <w:spacing w:val="-3"/>
                <w:sz w:val="20"/>
              </w:rPr>
              <w:t>IMMUNE</w:t>
            </w:r>
            <w:r w:rsidR="0032227C" w:rsidRPr="0032227C">
              <w:rPr>
                <w:rFonts w:asciiTheme="minorHAnsi" w:hAnsiTheme="minorHAnsi" w:cstheme="minorHAnsi"/>
                <w:spacing w:val="-3"/>
                <w:sz w:val="20"/>
              </w:rPr>
              <w:t xml:space="preserve"> </w:t>
            </w:r>
            <w:r w:rsidRPr="0032227C">
              <w:rPr>
                <w:rFonts w:asciiTheme="minorHAnsi" w:hAnsiTheme="minorHAnsi" w:cstheme="minorHAnsi"/>
                <w:spacing w:val="-3"/>
                <w:sz w:val="20"/>
              </w:rPr>
              <w:t xml:space="preserve">when a </w:t>
            </w:r>
            <w:r w:rsidR="0032227C" w:rsidRPr="0032227C">
              <w:rPr>
                <w:rFonts w:asciiTheme="minorHAnsi" w:hAnsiTheme="minorHAnsi" w:cstheme="minorHAnsi"/>
                <w:spacing w:val="-3"/>
                <w:sz w:val="20"/>
              </w:rPr>
              <w:t>cyclo</w:t>
            </w:r>
            <w:r w:rsidR="0032227C" w:rsidRPr="0032227C">
              <w:rPr>
                <w:rFonts w:asciiTheme="minorHAnsi" w:hAnsiTheme="minorHAnsi" w:cstheme="minorHAnsi"/>
                <w:b/>
                <w:spacing w:val="-3"/>
                <w:sz w:val="20"/>
              </w:rPr>
              <w:t>SPORINE</w:t>
            </w:r>
            <w:r w:rsidR="0032227C" w:rsidRPr="0032227C">
              <w:rPr>
                <w:rFonts w:asciiTheme="minorHAnsi" w:hAnsiTheme="minorHAnsi" w:cstheme="minorHAnsi"/>
                <w:spacing w:val="-3"/>
                <w:sz w:val="20"/>
              </w:rPr>
              <w:t xml:space="preserve"> </w:t>
            </w:r>
            <w:r w:rsidRPr="0032227C">
              <w:rPr>
                <w:rFonts w:asciiTheme="minorHAnsi" w:hAnsiTheme="minorHAnsi" w:cstheme="minorHAnsi"/>
                <w:spacing w:val="-3"/>
                <w:sz w:val="20"/>
              </w:rPr>
              <w:t xml:space="preserve">modified oral formulation was intended. Four patients recently received </w:t>
            </w:r>
            <w:r w:rsidR="0032227C" w:rsidRPr="0032227C">
              <w:rPr>
                <w:rFonts w:asciiTheme="minorHAnsi" w:hAnsiTheme="minorHAnsi" w:cstheme="minorHAnsi"/>
                <w:spacing w:val="-3"/>
                <w:sz w:val="20"/>
              </w:rPr>
              <w:t>Sand</w:t>
            </w:r>
            <w:r w:rsidR="0032227C" w:rsidRPr="0032227C">
              <w:rPr>
                <w:rFonts w:asciiTheme="minorHAnsi" w:hAnsiTheme="minorHAnsi" w:cstheme="minorHAnsi"/>
                <w:b/>
                <w:spacing w:val="-3"/>
                <w:sz w:val="20"/>
              </w:rPr>
              <w:t>IMMUNE</w:t>
            </w:r>
            <w:r w:rsidR="0032227C" w:rsidRPr="0032227C">
              <w:rPr>
                <w:rFonts w:asciiTheme="minorHAnsi" w:hAnsiTheme="minorHAnsi" w:cstheme="minorHAnsi"/>
                <w:spacing w:val="-3"/>
                <w:sz w:val="20"/>
              </w:rPr>
              <w:t xml:space="preserve"> </w:t>
            </w:r>
            <w:r w:rsidRPr="0032227C">
              <w:rPr>
                <w:rFonts w:asciiTheme="minorHAnsi" w:hAnsiTheme="minorHAnsi" w:cstheme="minorHAnsi"/>
                <w:spacing w:val="-3"/>
                <w:sz w:val="20"/>
              </w:rPr>
              <w:t>instead of the more appropriate form of the drug, Neoral or Gengraf.</w:t>
            </w:r>
          </w:p>
          <w:p w14:paraId="5158E926" w14:textId="77777777" w:rsidR="00B328BD" w:rsidRPr="0032227C" w:rsidRDefault="00B328BD" w:rsidP="00324E30">
            <w:pPr>
              <w:pStyle w:val="agenda-BODY"/>
              <w:rPr>
                <w:rFonts w:asciiTheme="minorHAnsi" w:hAnsiTheme="minorHAnsi" w:cstheme="minorHAnsi"/>
                <w:spacing w:val="-3"/>
                <w:sz w:val="20"/>
              </w:rPr>
            </w:pPr>
          </w:p>
        </w:tc>
        <w:tc>
          <w:tcPr>
            <w:tcW w:w="3312" w:type="dxa"/>
            <w:tcBorders>
              <w:top w:val="single" w:sz="6" w:space="0" w:color="0D4D9E"/>
              <w:bottom w:val="single" w:sz="6" w:space="0" w:color="0D4D9E"/>
            </w:tcBorders>
            <w:shd w:val="clear" w:color="auto" w:fill="F0EBD3"/>
          </w:tcPr>
          <w:p w14:paraId="5AF52B2C" w14:textId="77777777" w:rsidR="00DB1EA4" w:rsidRPr="00324E30" w:rsidRDefault="00DB1EA4" w:rsidP="00324E30">
            <w:pPr>
              <w:pStyle w:val="agenda-BODY"/>
              <w:rPr>
                <w:rFonts w:asciiTheme="minorHAnsi" w:hAnsiTheme="minorHAnsi" w:cstheme="minorHAnsi"/>
                <w:sz w:val="20"/>
              </w:rPr>
            </w:pPr>
            <w:r w:rsidRPr="0032227C">
              <w:rPr>
                <w:rFonts w:asciiTheme="minorHAnsi" w:hAnsiTheme="minorHAnsi" w:cstheme="minorHAnsi"/>
                <w:spacing w:val="-3"/>
                <w:sz w:val="20"/>
              </w:rPr>
              <w:t xml:space="preserve">Indicate the brand name in orders, medication histories, and medication reconciliation records. Clarify orders for </w:t>
            </w:r>
            <w:r w:rsidR="0032227C" w:rsidRPr="0032227C">
              <w:rPr>
                <w:rFonts w:asciiTheme="minorHAnsi" w:hAnsiTheme="minorHAnsi" w:cstheme="minorHAnsi"/>
                <w:spacing w:val="-3"/>
                <w:sz w:val="20"/>
              </w:rPr>
              <w:t>cyclo</w:t>
            </w:r>
            <w:r w:rsidR="0032227C" w:rsidRPr="0032227C">
              <w:rPr>
                <w:rFonts w:asciiTheme="minorHAnsi" w:hAnsiTheme="minorHAnsi" w:cstheme="minorHAnsi"/>
                <w:b/>
                <w:spacing w:val="-3"/>
                <w:sz w:val="20"/>
              </w:rPr>
              <w:t>SPORINE</w:t>
            </w:r>
            <w:r w:rsidR="0032227C" w:rsidRPr="0032227C">
              <w:rPr>
                <w:rFonts w:asciiTheme="minorHAnsi" w:hAnsiTheme="minorHAnsi" w:cstheme="minorHAnsi"/>
                <w:spacing w:val="-3"/>
                <w:sz w:val="20"/>
              </w:rPr>
              <w:t xml:space="preserve"> </w:t>
            </w:r>
            <w:r w:rsidRPr="0032227C">
              <w:rPr>
                <w:rFonts w:asciiTheme="minorHAnsi" w:hAnsiTheme="minorHAnsi" w:cstheme="minorHAnsi"/>
                <w:spacing w:val="-3"/>
                <w:sz w:val="20"/>
              </w:rPr>
              <w:t>if the formulation is not specified. Clearly display the different drug forms in order entry systems and create a hard stop to force verification of the correct drug form during prescribing. Monitor blood levels if a transplant patient receives the wrong formulation.</w:t>
            </w:r>
          </w:p>
        </w:tc>
        <w:tc>
          <w:tcPr>
            <w:tcW w:w="3299" w:type="dxa"/>
            <w:tcBorders>
              <w:top w:val="single" w:sz="6" w:space="0" w:color="0D4D9E"/>
              <w:bottom w:val="single" w:sz="6" w:space="0" w:color="0D4D9E"/>
            </w:tcBorders>
            <w:shd w:val="clear" w:color="auto" w:fill="FFFFFF"/>
          </w:tcPr>
          <w:p w14:paraId="0A86250F" w14:textId="77777777" w:rsidR="00DB1EA4" w:rsidRPr="00324E30" w:rsidRDefault="00DB1EA4"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57485D68" w14:textId="77777777" w:rsidR="00DB1EA4" w:rsidRPr="00324E30" w:rsidRDefault="00DB1EA4"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0E343806" w14:textId="77777777" w:rsidR="00DB1EA4" w:rsidRPr="00324E30" w:rsidRDefault="00DB1EA4" w:rsidP="00B36686">
            <w:pPr>
              <w:pStyle w:val="Acutecare-new-agenda-hed"/>
              <w:tabs>
                <w:tab w:val="clear" w:pos="5735"/>
                <w:tab w:val="clear" w:pos="7906"/>
                <w:tab w:val="clear" w:pos="10080"/>
              </w:tabs>
              <w:rPr>
                <w:rFonts w:asciiTheme="minorHAnsi" w:hAnsiTheme="minorHAnsi" w:cstheme="minorHAnsi"/>
                <w:sz w:val="20"/>
              </w:rPr>
            </w:pPr>
          </w:p>
        </w:tc>
      </w:tr>
      <w:tr w:rsidR="0063613F" w:rsidRPr="00324E30" w14:paraId="6E190D15" w14:textId="77777777" w:rsidTr="00324E30">
        <w:trPr>
          <w:jc w:val="center"/>
        </w:trPr>
        <w:tc>
          <w:tcPr>
            <w:tcW w:w="15035" w:type="dxa"/>
            <w:gridSpan w:val="6"/>
            <w:tcBorders>
              <w:top w:val="single" w:sz="6" w:space="0" w:color="0D4D9E"/>
              <w:bottom w:val="single" w:sz="6" w:space="0" w:color="0D4D9E"/>
            </w:tcBorders>
            <w:shd w:val="clear" w:color="auto" w:fill="BBCEEB"/>
          </w:tcPr>
          <w:p w14:paraId="72101596" w14:textId="77777777" w:rsidR="0063613F" w:rsidRPr="00324E30" w:rsidRDefault="004A4611" w:rsidP="0063613F">
            <w:pPr>
              <w:pStyle w:val="Acutecare-new-agenda-hed"/>
              <w:tabs>
                <w:tab w:val="clear" w:pos="5735"/>
                <w:tab w:val="clear" w:pos="7906"/>
                <w:tab w:val="clear" w:pos="10080"/>
              </w:tabs>
              <w:jc w:val="center"/>
              <w:rPr>
                <w:rFonts w:asciiTheme="minorHAnsi" w:hAnsiTheme="minorHAnsi" w:cstheme="minorHAnsi"/>
                <w:sz w:val="20"/>
              </w:rPr>
            </w:pPr>
            <w:r w:rsidRPr="00324E30">
              <w:rPr>
                <w:rFonts w:asciiTheme="minorHAnsi" w:hAnsiTheme="minorHAnsi" w:cstheme="minorHAnsi"/>
                <w:sz w:val="20"/>
              </w:rPr>
              <w:t>Order entry short codes may be too short</w:t>
            </w:r>
          </w:p>
        </w:tc>
      </w:tr>
      <w:tr w:rsidR="00C82554" w:rsidRPr="00324E30" w14:paraId="60359777" w14:textId="77777777" w:rsidTr="00324E30">
        <w:trPr>
          <w:jc w:val="center"/>
        </w:trPr>
        <w:tc>
          <w:tcPr>
            <w:tcW w:w="792" w:type="dxa"/>
            <w:tcBorders>
              <w:top w:val="single" w:sz="6" w:space="0" w:color="0D4D9E"/>
              <w:bottom w:val="single" w:sz="6" w:space="0" w:color="0D4D9E"/>
            </w:tcBorders>
            <w:shd w:val="clear" w:color="auto" w:fill="F0EBD3"/>
          </w:tcPr>
          <w:p w14:paraId="5217C68E" w14:textId="77777777" w:rsidR="00C82554" w:rsidRPr="00324E30" w:rsidRDefault="00C82554" w:rsidP="00FE79D0">
            <w:pPr>
              <w:pStyle w:val="agenda-BODY"/>
              <w:rPr>
                <w:rFonts w:asciiTheme="minorHAnsi" w:hAnsiTheme="minorHAnsi" w:cstheme="minorHAnsi"/>
                <w:sz w:val="20"/>
              </w:rPr>
            </w:pPr>
            <w:r w:rsidRPr="00324E30">
              <w:rPr>
                <w:rFonts w:asciiTheme="minorHAnsi" w:hAnsiTheme="minorHAnsi" w:cstheme="minorHAnsi"/>
                <w:sz w:val="20"/>
              </w:rPr>
              <w:t>02/18</w:t>
            </w:r>
          </w:p>
        </w:tc>
        <w:tc>
          <w:tcPr>
            <w:tcW w:w="3312" w:type="dxa"/>
            <w:tcBorders>
              <w:top w:val="single" w:sz="6" w:space="0" w:color="0D4D9E"/>
              <w:bottom w:val="single" w:sz="6" w:space="0" w:color="0D4D9E"/>
            </w:tcBorders>
            <w:shd w:val="clear" w:color="auto" w:fill="FFF3D6"/>
          </w:tcPr>
          <w:p w14:paraId="75290D06" w14:textId="77777777" w:rsidR="00C82554" w:rsidRPr="0032227C" w:rsidRDefault="00C82554"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Order entry errors can happen when just the first few letter characters and a strength are used to search and select a medication from computer listings. When entering a prescription for oxybutynin extended release 10 mg, a pharmacist used the first 3 letters of the generic name and the strength of the drug (i.e., “oxy10”) to search for the product in the computer system. A number of products appeared on the screen, including oxybutynin extended release 10 mg and oxy</w:t>
            </w:r>
            <w:r w:rsidRPr="0032227C">
              <w:rPr>
                <w:rFonts w:asciiTheme="minorHAnsi" w:hAnsiTheme="minorHAnsi" w:cstheme="minorHAnsi"/>
                <w:b/>
                <w:spacing w:val="-3"/>
                <w:sz w:val="20"/>
              </w:rPr>
              <w:t>CODONE</w:t>
            </w:r>
            <w:r w:rsidRPr="0032227C">
              <w:rPr>
                <w:rFonts w:asciiTheme="minorHAnsi" w:hAnsiTheme="minorHAnsi" w:cstheme="minorHAnsi"/>
                <w:spacing w:val="-3"/>
                <w:sz w:val="20"/>
              </w:rPr>
              <w:t xml:space="preserve"> </w:t>
            </w:r>
            <w:r w:rsidRPr="0032227C">
              <w:rPr>
                <w:rFonts w:asciiTheme="minorHAnsi" w:hAnsiTheme="minorHAnsi" w:cstheme="minorHAnsi"/>
                <w:spacing w:val="-3"/>
                <w:sz w:val="20"/>
              </w:rPr>
              <w:lastRenderedPageBreak/>
              <w:t>extended release 10 mg. The pharmacist inadvertently chose “oxycodone SR 10 mg.”</w:t>
            </w:r>
          </w:p>
          <w:p w14:paraId="42E59E68" w14:textId="77777777" w:rsidR="00B328BD" w:rsidRPr="0032227C" w:rsidRDefault="00B328BD" w:rsidP="00324E30">
            <w:pPr>
              <w:pStyle w:val="agenda-BODY"/>
              <w:rPr>
                <w:rFonts w:asciiTheme="minorHAnsi" w:hAnsiTheme="minorHAnsi" w:cstheme="minorHAnsi"/>
                <w:spacing w:val="-3"/>
                <w:sz w:val="20"/>
              </w:rPr>
            </w:pPr>
          </w:p>
        </w:tc>
        <w:tc>
          <w:tcPr>
            <w:tcW w:w="3312" w:type="dxa"/>
            <w:tcBorders>
              <w:top w:val="single" w:sz="6" w:space="0" w:color="0D4D9E"/>
              <w:bottom w:val="single" w:sz="6" w:space="0" w:color="0D4D9E"/>
            </w:tcBorders>
            <w:shd w:val="clear" w:color="auto" w:fill="F0EBD3"/>
          </w:tcPr>
          <w:p w14:paraId="7DFAE61A" w14:textId="77777777" w:rsidR="00C82554" w:rsidRPr="0032227C" w:rsidRDefault="00C82554"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lastRenderedPageBreak/>
              <w:t>Typing at least 5 letter characters (unless the drug name contains 4 or fewer letters) along with the drug strength most often limits similar names from appearing together on the same screen. Work with your information technology staff and computer system vendor to implement this strategy in the order entry system. Use mixed case lettering (e.g., tall man letters) to help differentiate similar drug names in computer systems.</w:t>
            </w:r>
          </w:p>
        </w:tc>
        <w:tc>
          <w:tcPr>
            <w:tcW w:w="3299" w:type="dxa"/>
            <w:tcBorders>
              <w:top w:val="single" w:sz="6" w:space="0" w:color="0D4D9E"/>
              <w:bottom w:val="single" w:sz="6" w:space="0" w:color="0D4D9E"/>
            </w:tcBorders>
            <w:shd w:val="clear" w:color="auto" w:fill="FFFFFF"/>
          </w:tcPr>
          <w:p w14:paraId="1D5A69FC" w14:textId="77777777" w:rsidR="00C82554" w:rsidRPr="00324E30" w:rsidRDefault="00C82554"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30A0A9D0" w14:textId="77777777" w:rsidR="00C82554" w:rsidRPr="00324E30" w:rsidRDefault="00C82554"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1E9F4C0F" w14:textId="77777777" w:rsidR="00C82554" w:rsidRPr="00324E30" w:rsidRDefault="00C82554" w:rsidP="00B36686">
            <w:pPr>
              <w:pStyle w:val="Acutecare-new-agenda-hed"/>
              <w:tabs>
                <w:tab w:val="clear" w:pos="5735"/>
                <w:tab w:val="clear" w:pos="7906"/>
                <w:tab w:val="clear" w:pos="10080"/>
              </w:tabs>
              <w:rPr>
                <w:rFonts w:asciiTheme="minorHAnsi" w:hAnsiTheme="minorHAnsi" w:cstheme="minorHAnsi"/>
                <w:sz w:val="20"/>
              </w:rPr>
            </w:pPr>
          </w:p>
        </w:tc>
      </w:tr>
      <w:tr w:rsidR="0063613F" w:rsidRPr="00324E30" w14:paraId="4994E57E" w14:textId="77777777" w:rsidTr="00324E30">
        <w:trPr>
          <w:jc w:val="center"/>
        </w:trPr>
        <w:tc>
          <w:tcPr>
            <w:tcW w:w="15035" w:type="dxa"/>
            <w:gridSpan w:val="6"/>
            <w:tcBorders>
              <w:top w:val="single" w:sz="6" w:space="0" w:color="0D4D9E"/>
              <w:bottom w:val="single" w:sz="6" w:space="0" w:color="0D4D9E"/>
            </w:tcBorders>
            <w:shd w:val="clear" w:color="auto" w:fill="BBCEEB"/>
          </w:tcPr>
          <w:p w14:paraId="03009D08" w14:textId="77777777" w:rsidR="0063613F" w:rsidRPr="00324E30" w:rsidRDefault="008F2E96" w:rsidP="001770AC">
            <w:pPr>
              <w:pStyle w:val="Acutecare-new-agenda-hed"/>
              <w:jc w:val="center"/>
              <w:rPr>
                <w:rFonts w:asciiTheme="minorHAnsi" w:hAnsiTheme="minorHAnsi" w:cstheme="minorHAnsi"/>
                <w:bCs/>
                <w:sz w:val="20"/>
              </w:rPr>
            </w:pPr>
            <w:r w:rsidRPr="00324E30">
              <w:rPr>
                <w:rFonts w:asciiTheme="minorHAnsi" w:hAnsiTheme="minorHAnsi" w:cstheme="minorHAnsi"/>
                <w:sz w:val="20"/>
              </w:rPr>
              <w:t>Label immediate medication containers</w:t>
            </w:r>
            <w:r w:rsidR="005C307A" w:rsidRPr="00324E30">
              <w:rPr>
                <w:rFonts w:asciiTheme="minorHAnsi" w:hAnsiTheme="minorHAnsi" w:cstheme="minorHAnsi"/>
                <w:bCs/>
                <w:sz w:val="20"/>
              </w:rPr>
              <w:t xml:space="preserve"> </w:t>
            </w:r>
          </w:p>
        </w:tc>
      </w:tr>
      <w:tr w:rsidR="008F2E96" w:rsidRPr="00324E30" w14:paraId="7FBDF329" w14:textId="77777777" w:rsidTr="00324E30">
        <w:trPr>
          <w:jc w:val="center"/>
        </w:trPr>
        <w:tc>
          <w:tcPr>
            <w:tcW w:w="792" w:type="dxa"/>
            <w:tcBorders>
              <w:top w:val="single" w:sz="6" w:space="0" w:color="0D4D9E"/>
              <w:bottom w:val="single" w:sz="6" w:space="0" w:color="0D4D9E"/>
            </w:tcBorders>
            <w:shd w:val="clear" w:color="auto" w:fill="F0EBD3"/>
          </w:tcPr>
          <w:p w14:paraId="7034E558" w14:textId="77777777" w:rsidR="008F2E96" w:rsidRPr="00324E30" w:rsidRDefault="008F2E96" w:rsidP="00FE79D0">
            <w:pPr>
              <w:pStyle w:val="agenda-BODY"/>
              <w:rPr>
                <w:rFonts w:asciiTheme="minorHAnsi" w:hAnsiTheme="minorHAnsi" w:cstheme="minorHAnsi"/>
                <w:sz w:val="20"/>
              </w:rPr>
            </w:pPr>
            <w:r w:rsidRPr="00324E30">
              <w:rPr>
                <w:rFonts w:asciiTheme="minorHAnsi" w:hAnsiTheme="minorHAnsi" w:cstheme="minorHAnsi"/>
                <w:sz w:val="20"/>
              </w:rPr>
              <w:t>01/18</w:t>
            </w:r>
          </w:p>
        </w:tc>
        <w:tc>
          <w:tcPr>
            <w:tcW w:w="3312" w:type="dxa"/>
            <w:tcBorders>
              <w:top w:val="single" w:sz="6" w:space="0" w:color="0D4D9E"/>
              <w:bottom w:val="single" w:sz="6" w:space="0" w:color="0D4D9E"/>
            </w:tcBorders>
            <w:shd w:val="clear" w:color="auto" w:fill="FFF3D6"/>
          </w:tcPr>
          <w:p w14:paraId="384F5841" w14:textId="77777777" w:rsidR="00B328BD" w:rsidRPr="0032227C" w:rsidRDefault="008F2E96"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 xml:space="preserve">A patient received overdoses of cefdinir 250 mg/5 mL oral suspension. The child was supposed to receive 3 mL each day. However, the child’s parents were administering 14 mL a day in 2 doses following the “directions” on the manufacturer’s container label. The pharmacy had affixed the pharmacy label to the outer carton of the medication, which was disposed of when the prescription was brought into the home. Thus, the only dosage information that remained was on the manufacturer’s label on the bottle. </w:t>
            </w:r>
          </w:p>
          <w:p w14:paraId="56F9960B" w14:textId="77777777" w:rsidR="00B328BD" w:rsidRPr="0032227C" w:rsidRDefault="00B328BD" w:rsidP="00324E30">
            <w:pPr>
              <w:pStyle w:val="agenda-BODY"/>
              <w:rPr>
                <w:rFonts w:asciiTheme="minorHAnsi" w:hAnsiTheme="minorHAnsi" w:cstheme="minorHAnsi"/>
                <w:spacing w:val="-3"/>
                <w:sz w:val="20"/>
              </w:rPr>
            </w:pPr>
          </w:p>
        </w:tc>
        <w:tc>
          <w:tcPr>
            <w:tcW w:w="3312" w:type="dxa"/>
            <w:tcBorders>
              <w:top w:val="single" w:sz="6" w:space="0" w:color="0D4D9E"/>
              <w:bottom w:val="single" w:sz="6" w:space="0" w:color="0D4D9E"/>
            </w:tcBorders>
            <w:shd w:val="clear" w:color="auto" w:fill="F0EBD3"/>
          </w:tcPr>
          <w:p w14:paraId="3FFE1B6F" w14:textId="77777777" w:rsidR="008F2E96" w:rsidRPr="00324E30" w:rsidRDefault="008F2E96" w:rsidP="00324E30">
            <w:pPr>
              <w:pStyle w:val="agenda-BODY"/>
              <w:rPr>
                <w:rFonts w:asciiTheme="minorHAnsi" w:hAnsiTheme="minorHAnsi" w:cstheme="minorHAnsi"/>
                <w:sz w:val="20"/>
              </w:rPr>
            </w:pPr>
            <w:r w:rsidRPr="0032227C">
              <w:rPr>
                <w:rFonts w:asciiTheme="minorHAnsi" w:hAnsiTheme="minorHAnsi" w:cstheme="minorHAnsi"/>
                <w:spacing w:val="-3"/>
                <w:sz w:val="20"/>
              </w:rPr>
              <w:t>It is critical that the pharmacy label be affixed to the immediate container from which medication doses will be retrieved. If this is not possible, remind patients to retain the label which includes the directions for use and the patient’s name. Opening the bag at the point-of-sale to review the medication and directions for use with the patient’s parents would have helped them reduce the risk of the dosing error.</w:t>
            </w:r>
          </w:p>
        </w:tc>
        <w:tc>
          <w:tcPr>
            <w:tcW w:w="3299" w:type="dxa"/>
            <w:tcBorders>
              <w:top w:val="single" w:sz="6" w:space="0" w:color="0D4D9E"/>
              <w:bottom w:val="single" w:sz="6" w:space="0" w:color="0D4D9E"/>
            </w:tcBorders>
            <w:shd w:val="clear" w:color="auto" w:fill="FFFFFF"/>
          </w:tcPr>
          <w:p w14:paraId="126F3955" w14:textId="77777777" w:rsidR="008F2E96" w:rsidRPr="00324E30" w:rsidRDefault="008F2E96"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4FF73AB5" w14:textId="77777777" w:rsidR="008F2E96" w:rsidRPr="00324E30" w:rsidRDefault="008F2E96"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5A9420DF" w14:textId="77777777" w:rsidR="008F2E96" w:rsidRPr="00324E30" w:rsidRDefault="008F2E96" w:rsidP="00B36686">
            <w:pPr>
              <w:pStyle w:val="Acutecare-new-agenda-hed"/>
              <w:tabs>
                <w:tab w:val="clear" w:pos="5735"/>
                <w:tab w:val="clear" w:pos="7906"/>
                <w:tab w:val="clear" w:pos="10080"/>
              </w:tabs>
              <w:rPr>
                <w:rFonts w:asciiTheme="minorHAnsi" w:hAnsiTheme="minorHAnsi" w:cstheme="minorHAnsi"/>
                <w:sz w:val="20"/>
              </w:rPr>
            </w:pPr>
          </w:p>
        </w:tc>
      </w:tr>
      <w:tr w:rsidR="0063613F" w:rsidRPr="00324E30" w14:paraId="1B112F3B" w14:textId="77777777" w:rsidTr="00324E30">
        <w:trPr>
          <w:jc w:val="center"/>
        </w:trPr>
        <w:tc>
          <w:tcPr>
            <w:tcW w:w="15035" w:type="dxa"/>
            <w:gridSpan w:val="6"/>
            <w:tcBorders>
              <w:top w:val="single" w:sz="6" w:space="0" w:color="0D4D9E"/>
              <w:bottom w:val="single" w:sz="6" w:space="0" w:color="0D4D9E"/>
            </w:tcBorders>
            <w:shd w:val="clear" w:color="auto" w:fill="BBCEEB"/>
          </w:tcPr>
          <w:p w14:paraId="3526582B" w14:textId="77777777" w:rsidR="0063613F" w:rsidRPr="00324E30" w:rsidRDefault="006C7A0A" w:rsidP="0063493C">
            <w:pPr>
              <w:pStyle w:val="Acutecare-new-agenda-hed"/>
              <w:jc w:val="center"/>
              <w:rPr>
                <w:rFonts w:asciiTheme="minorHAnsi" w:hAnsiTheme="minorHAnsi" w:cstheme="minorHAnsi"/>
                <w:bCs/>
                <w:sz w:val="20"/>
              </w:rPr>
            </w:pPr>
            <w:r w:rsidRPr="00324E30">
              <w:rPr>
                <w:rFonts w:asciiTheme="minorHAnsi" w:hAnsiTheme="minorHAnsi" w:cstheme="minorHAnsi"/>
                <w:sz w:val="20"/>
              </w:rPr>
              <w:t>Warning! Dilute sertraline oral concentrate</w:t>
            </w:r>
          </w:p>
        </w:tc>
      </w:tr>
      <w:tr w:rsidR="006C7A0A" w:rsidRPr="00324E30" w14:paraId="17B7836F" w14:textId="77777777" w:rsidTr="00324E30">
        <w:trPr>
          <w:jc w:val="center"/>
        </w:trPr>
        <w:tc>
          <w:tcPr>
            <w:tcW w:w="792" w:type="dxa"/>
            <w:tcBorders>
              <w:top w:val="single" w:sz="6" w:space="0" w:color="0D4D9E"/>
              <w:bottom w:val="single" w:sz="6" w:space="0" w:color="0D4D9E"/>
            </w:tcBorders>
            <w:shd w:val="clear" w:color="auto" w:fill="F0EBD3"/>
          </w:tcPr>
          <w:p w14:paraId="7D4DBA74" w14:textId="77777777" w:rsidR="006C7A0A" w:rsidRPr="00324E30" w:rsidRDefault="006C7A0A" w:rsidP="00324E30">
            <w:pPr>
              <w:pStyle w:val="agenda-BODY"/>
              <w:rPr>
                <w:rFonts w:asciiTheme="minorHAnsi" w:hAnsiTheme="minorHAnsi" w:cstheme="minorHAnsi"/>
                <w:sz w:val="20"/>
              </w:rPr>
            </w:pPr>
            <w:r w:rsidRPr="00324E30">
              <w:rPr>
                <w:rFonts w:asciiTheme="minorHAnsi" w:hAnsiTheme="minorHAnsi" w:cstheme="minorHAnsi"/>
                <w:sz w:val="20"/>
              </w:rPr>
              <w:t>04/18</w:t>
            </w:r>
          </w:p>
        </w:tc>
        <w:tc>
          <w:tcPr>
            <w:tcW w:w="3312" w:type="dxa"/>
            <w:tcBorders>
              <w:top w:val="single" w:sz="6" w:space="0" w:color="0D4D9E"/>
              <w:bottom w:val="single" w:sz="6" w:space="0" w:color="0D4D9E"/>
            </w:tcBorders>
            <w:shd w:val="clear" w:color="auto" w:fill="FFF3D6"/>
          </w:tcPr>
          <w:p w14:paraId="29F6F40B" w14:textId="77777777" w:rsidR="006C7A0A" w:rsidRPr="00324E30" w:rsidRDefault="006C7A0A" w:rsidP="00324E30">
            <w:pPr>
              <w:pStyle w:val="agenda-BODY"/>
              <w:rPr>
                <w:rFonts w:asciiTheme="minorHAnsi" w:hAnsiTheme="minorHAnsi" w:cstheme="minorHAnsi"/>
                <w:sz w:val="20"/>
              </w:rPr>
            </w:pPr>
            <w:r w:rsidRPr="0032227C">
              <w:rPr>
                <w:rFonts w:asciiTheme="minorHAnsi" w:hAnsiTheme="minorHAnsi" w:cstheme="minorHAnsi"/>
                <w:spacing w:val="-3"/>
                <w:sz w:val="20"/>
              </w:rPr>
              <w:t>Sertraline liquid oral concentrate is produced in a 20 mg per mL concentration. The concentrated solution is astringent and direct administration of the undiluted solution may numb the tongue and mouth for at least a day, even if the mouth is rinsed extensively. Recently, a young child was given the undiluted concentrate. The instructions on the prescription and pharmacy label did not direct the caregiver to dilute the solution before administration. The child became distressed after receiving the solution undiluted.</w:t>
            </w:r>
          </w:p>
        </w:tc>
        <w:tc>
          <w:tcPr>
            <w:tcW w:w="3312" w:type="dxa"/>
            <w:tcBorders>
              <w:top w:val="single" w:sz="6" w:space="0" w:color="0D4D9E"/>
              <w:bottom w:val="single" w:sz="6" w:space="0" w:color="0D4D9E"/>
            </w:tcBorders>
            <w:shd w:val="clear" w:color="auto" w:fill="F0EBD3"/>
          </w:tcPr>
          <w:p w14:paraId="01FD263D" w14:textId="77777777" w:rsidR="006C7A0A" w:rsidRPr="0032227C" w:rsidRDefault="006C7A0A"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 xml:space="preserve">Educate prescribers and pharmacy staff about the need to dilute this product before administration. Mandate patient counseling. Do not cover important warnings or instructions on manufacturer labels with pharmacy labels. Add directions for dilution to orders and medication administration records in long-term care facilities. Apply auxiliary labels warning that the product must be diluted. Warn patients and caregivers to use only the manufacturer-supplied dropper to measure the solution and dilute only in one of the solutions listed in the package insert. </w:t>
            </w:r>
          </w:p>
          <w:p w14:paraId="67B09646" w14:textId="77777777" w:rsidR="007E058F" w:rsidRPr="0032227C" w:rsidRDefault="007E058F" w:rsidP="00324E30">
            <w:pPr>
              <w:pStyle w:val="agenda-BODY"/>
              <w:rPr>
                <w:rFonts w:asciiTheme="minorHAnsi" w:hAnsiTheme="minorHAnsi" w:cstheme="minorHAnsi"/>
                <w:spacing w:val="-3"/>
                <w:sz w:val="20"/>
              </w:rPr>
            </w:pPr>
          </w:p>
        </w:tc>
        <w:tc>
          <w:tcPr>
            <w:tcW w:w="3299" w:type="dxa"/>
            <w:tcBorders>
              <w:top w:val="single" w:sz="6" w:space="0" w:color="0D4D9E"/>
              <w:bottom w:val="single" w:sz="6" w:space="0" w:color="0D4D9E"/>
            </w:tcBorders>
            <w:shd w:val="clear" w:color="auto" w:fill="FFFFFF"/>
          </w:tcPr>
          <w:p w14:paraId="7C81EA66" w14:textId="77777777" w:rsidR="006C7A0A" w:rsidRPr="00324E30" w:rsidRDefault="006C7A0A"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1F0A3C46" w14:textId="77777777" w:rsidR="006C7A0A" w:rsidRPr="00324E30" w:rsidRDefault="006C7A0A"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66B70E96" w14:textId="77777777" w:rsidR="006C7A0A" w:rsidRPr="00324E30" w:rsidRDefault="006C7A0A" w:rsidP="00B36686">
            <w:pPr>
              <w:pStyle w:val="Acutecare-new-agenda-hed"/>
              <w:tabs>
                <w:tab w:val="clear" w:pos="5735"/>
                <w:tab w:val="clear" w:pos="7906"/>
                <w:tab w:val="clear" w:pos="10080"/>
              </w:tabs>
              <w:rPr>
                <w:rFonts w:asciiTheme="minorHAnsi" w:hAnsiTheme="minorHAnsi" w:cstheme="minorHAnsi"/>
                <w:sz w:val="20"/>
              </w:rPr>
            </w:pPr>
          </w:p>
        </w:tc>
      </w:tr>
      <w:tr w:rsidR="00DB7740" w:rsidRPr="00324E30" w14:paraId="2AE75BFC" w14:textId="77777777" w:rsidTr="00324E30">
        <w:trPr>
          <w:jc w:val="center"/>
        </w:trPr>
        <w:tc>
          <w:tcPr>
            <w:tcW w:w="15035" w:type="dxa"/>
            <w:gridSpan w:val="6"/>
            <w:tcBorders>
              <w:top w:val="single" w:sz="6" w:space="0" w:color="0D4D9E"/>
              <w:bottom w:val="single" w:sz="6" w:space="0" w:color="0D4D9E"/>
            </w:tcBorders>
            <w:shd w:val="clear" w:color="auto" w:fill="BBCEEB"/>
          </w:tcPr>
          <w:p w14:paraId="763A0539" w14:textId="77777777" w:rsidR="00DB7740" w:rsidRPr="00324E30" w:rsidRDefault="005C307A" w:rsidP="00562B2F">
            <w:pPr>
              <w:pStyle w:val="Acutecare-new-agenda-hed"/>
              <w:jc w:val="center"/>
              <w:rPr>
                <w:rFonts w:asciiTheme="minorHAnsi" w:hAnsiTheme="minorHAnsi" w:cstheme="minorHAnsi"/>
                <w:bCs/>
                <w:sz w:val="20"/>
              </w:rPr>
            </w:pPr>
            <w:r w:rsidRPr="00324E30">
              <w:rPr>
                <w:rFonts w:asciiTheme="minorHAnsi" w:hAnsiTheme="minorHAnsi" w:cstheme="minorHAnsi"/>
                <w:bCs/>
                <w:sz w:val="20"/>
              </w:rPr>
              <w:t xml:space="preserve"> </w:t>
            </w:r>
            <w:r w:rsidR="00200908" w:rsidRPr="00324E30">
              <w:rPr>
                <w:rFonts w:asciiTheme="minorHAnsi" w:hAnsiTheme="minorHAnsi" w:cstheme="minorHAnsi"/>
                <w:sz w:val="20"/>
              </w:rPr>
              <w:t>Confusion between lamoTRIgine and labetalol</w:t>
            </w:r>
          </w:p>
        </w:tc>
      </w:tr>
      <w:tr w:rsidR="00200908" w:rsidRPr="00324E30" w14:paraId="62760FC1" w14:textId="77777777" w:rsidTr="00324E30">
        <w:trPr>
          <w:jc w:val="center"/>
        </w:trPr>
        <w:tc>
          <w:tcPr>
            <w:tcW w:w="792" w:type="dxa"/>
            <w:tcBorders>
              <w:top w:val="single" w:sz="6" w:space="0" w:color="0D4D9E"/>
              <w:bottom w:val="single" w:sz="6" w:space="0" w:color="0D4D9E"/>
            </w:tcBorders>
            <w:shd w:val="clear" w:color="auto" w:fill="F0EBD3"/>
          </w:tcPr>
          <w:p w14:paraId="08C0AB31" w14:textId="77777777" w:rsidR="00200908" w:rsidRPr="00324E30" w:rsidRDefault="00200908" w:rsidP="00324E30">
            <w:pPr>
              <w:pStyle w:val="agenda-BODY"/>
              <w:rPr>
                <w:rFonts w:asciiTheme="minorHAnsi" w:hAnsiTheme="minorHAnsi" w:cstheme="minorHAnsi"/>
                <w:sz w:val="20"/>
              </w:rPr>
            </w:pPr>
            <w:r w:rsidRPr="00324E30">
              <w:rPr>
                <w:rFonts w:asciiTheme="minorHAnsi" w:hAnsiTheme="minorHAnsi" w:cstheme="minorHAnsi"/>
                <w:sz w:val="20"/>
              </w:rPr>
              <w:t>01/18</w:t>
            </w:r>
          </w:p>
        </w:tc>
        <w:tc>
          <w:tcPr>
            <w:tcW w:w="3312" w:type="dxa"/>
            <w:tcBorders>
              <w:top w:val="single" w:sz="6" w:space="0" w:color="0D4D9E"/>
              <w:bottom w:val="single" w:sz="6" w:space="0" w:color="0D4D9E"/>
            </w:tcBorders>
            <w:shd w:val="clear" w:color="auto" w:fill="FFF3D6"/>
          </w:tcPr>
          <w:p w14:paraId="627425B4" w14:textId="77777777" w:rsidR="00200908" w:rsidRPr="0032227C" w:rsidRDefault="00200908"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More than a dozen mix-ups have been reported between oral labetalol and lamo</w:t>
            </w:r>
            <w:r w:rsidRPr="0032227C">
              <w:rPr>
                <w:rFonts w:asciiTheme="minorHAnsi" w:hAnsiTheme="minorHAnsi" w:cstheme="minorHAnsi"/>
                <w:b/>
                <w:spacing w:val="-3"/>
                <w:sz w:val="20"/>
              </w:rPr>
              <w:t>TRI</w:t>
            </w:r>
            <w:r w:rsidRPr="0032227C">
              <w:rPr>
                <w:rFonts w:asciiTheme="minorHAnsi" w:hAnsiTheme="minorHAnsi" w:cstheme="minorHAnsi"/>
                <w:spacing w:val="-3"/>
                <w:sz w:val="20"/>
              </w:rPr>
              <w:t xml:space="preserve">gine. The mix-ups have resulted in breakthrough seizures and hypotension in patients who received labetalol in error, and skin rashes or untreated hypertension in patients who received </w:t>
            </w:r>
            <w:r w:rsidR="0032227C" w:rsidRPr="0032227C">
              <w:rPr>
                <w:rFonts w:asciiTheme="minorHAnsi" w:hAnsiTheme="minorHAnsi" w:cstheme="minorHAnsi"/>
                <w:spacing w:val="-3"/>
                <w:sz w:val="20"/>
              </w:rPr>
              <w:t>lamo</w:t>
            </w:r>
            <w:r w:rsidR="0032227C" w:rsidRPr="0032227C">
              <w:rPr>
                <w:rFonts w:asciiTheme="minorHAnsi" w:hAnsiTheme="minorHAnsi" w:cstheme="minorHAnsi"/>
                <w:b/>
                <w:spacing w:val="-3"/>
                <w:sz w:val="20"/>
              </w:rPr>
              <w:t>TRI</w:t>
            </w:r>
            <w:r w:rsidR="0032227C" w:rsidRPr="0032227C">
              <w:rPr>
                <w:rFonts w:asciiTheme="minorHAnsi" w:hAnsiTheme="minorHAnsi" w:cstheme="minorHAnsi"/>
                <w:spacing w:val="-3"/>
                <w:sz w:val="20"/>
              </w:rPr>
              <w:t>gine</w:t>
            </w:r>
            <w:r w:rsidR="0032227C" w:rsidRPr="0032227C">
              <w:rPr>
                <w:rFonts w:asciiTheme="minorHAnsi" w:hAnsiTheme="minorHAnsi" w:cstheme="minorHAnsi"/>
                <w:spacing w:val="-3"/>
                <w:sz w:val="20"/>
              </w:rPr>
              <w:t xml:space="preserve"> </w:t>
            </w:r>
            <w:r w:rsidRPr="0032227C">
              <w:rPr>
                <w:rFonts w:asciiTheme="minorHAnsi" w:hAnsiTheme="minorHAnsi" w:cstheme="minorHAnsi"/>
                <w:spacing w:val="-3"/>
                <w:sz w:val="20"/>
              </w:rPr>
              <w:t>in error. Contributing factors include similar size bottles and label colors, overlapping strengths, side-by-side storage, and look-alike tablets.</w:t>
            </w:r>
          </w:p>
        </w:tc>
        <w:tc>
          <w:tcPr>
            <w:tcW w:w="3312" w:type="dxa"/>
            <w:tcBorders>
              <w:top w:val="single" w:sz="6" w:space="0" w:color="0D4D9E"/>
              <w:bottom w:val="single" w:sz="6" w:space="0" w:color="0D4D9E"/>
            </w:tcBorders>
            <w:shd w:val="clear" w:color="auto" w:fill="F0EBD3"/>
          </w:tcPr>
          <w:p w14:paraId="1CD75F5B" w14:textId="77777777" w:rsidR="00200908" w:rsidRPr="0032227C" w:rsidRDefault="00200908"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 xml:space="preserve">When receiving orders for either drug, match the patient’s condition to the proper indication. Use a marker to draw attention to the product’s name on the bottle. In community pharmacies, ask the patient to review the labels and contents of each prescription container for accuracy. Use mixed case lettering (e.g., tall man letters) when expressing </w:t>
            </w:r>
            <w:r w:rsidR="0032227C" w:rsidRPr="0032227C">
              <w:rPr>
                <w:rFonts w:asciiTheme="minorHAnsi" w:hAnsiTheme="minorHAnsi" w:cstheme="minorHAnsi"/>
                <w:spacing w:val="-3"/>
                <w:sz w:val="20"/>
              </w:rPr>
              <w:t>lamo</w:t>
            </w:r>
            <w:r w:rsidR="0032227C" w:rsidRPr="0032227C">
              <w:rPr>
                <w:rFonts w:asciiTheme="minorHAnsi" w:hAnsiTheme="minorHAnsi" w:cstheme="minorHAnsi"/>
                <w:b/>
                <w:spacing w:val="-3"/>
                <w:sz w:val="20"/>
              </w:rPr>
              <w:t>TRI</w:t>
            </w:r>
            <w:r w:rsidR="0032227C" w:rsidRPr="0032227C">
              <w:rPr>
                <w:rFonts w:asciiTheme="minorHAnsi" w:hAnsiTheme="minorHAnsi" w:cstheme="minorHAnsi"/>
                <w:spacing w:val="-3"/>
                <w:sz w:val="20"/>
              </w:rPr>
              <w:t>gine</w:t>
            </w:r>
            <w:r w:rsidRPr="0032227C">
              <w:rPr>
                <w:rFonts w:asciiTheme="minorHAnsi" w:hAnsiTheme="minorHAnsi" w:cstheme="minorHAnsi"/>
                <w:spacing w:val="-3"/>
                <w:sz w:val="20"/>
              </w:rPr>
              <w:t>. Electronic prescribing and barcode scanning helps to decrease this error potential.</w:t>
            </w:r>
          </w:p>
          <w:p w14:paraId="0D71EE4B" w14:textId="77777777" w:rsidR="007E058F" w:rsidRPr="00324E30" w:rsidRDefault="007E058F" w:rsidP="00324E30">
            <w:pPr>
              <w:pStyle w:val="agenda-BODY"/>
              <w:rPr>
                <w:rFonts w:asciiTheme="minorHAnsi" w:hAnsiTheme="minorHAnsi" w:cstheme="minorHAnsi"/>
                <w:sz w:val="20"/>
              </w:rPr>
            </w:pPr>
          </w:p>
        </w:tc>
        <w:tc>
          <w:tcPr>
            <w:tcW w:w="3299" w:type="dxa"/>
            <w:tcBorders>
              <w:top w:val="single" w:sz="6" w:space="0" w:color="0D4D9E"/>
              <w:bottom w:val="single" w:sz="6" w:space="0" w:color="0D4D9E"/>
            </w:tcBorders>
            <w:shd w:val="clear" w:color="auto" w:fill="FFFFFF"/>
          </w:tcPr>
          <w:p w14:paraId="66CF6A9E" w14:textId="77777777" w:rsidR="00200908" w:rsidRPr="00324E30" w:rsidRDefault="00200908"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3E3A1228" w14:textId="77777777" w:rsidR="00200908" w:rsidRPr="00324E30" w:rsidRDefault="00200908"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54D74B71" w14:textId="77777777" w:rsidR="00200908" w:rsidRPr="00324E30" w:rsidRDefault="00200908" w:rsidP="00B36686">
            <w:pPr>
              <w:pStyle w:val="Acutecare-new-agenda-hed"/>
              <w:tabs>
                <w:tab w:val="clear" w:pos="5735"/>
                <w:tab w:val="clear" w:pos="7906"/>
                <w:tab w:val="clear" w:pos="10080"/>
              </w:tabs>
              <w:rPr>
                <w:rFonts w:asciiTheme="minorHAnsi" w:hAnsiTheme="minorHAnsi" w:cstheme="minorHAnsi"/>
                <w:sz w:val="20"/>
              </w:rPr>
            </w:pPr>
          </w:p>
        </w:tc>
      </w:tr>
      <w:tr w:rsidR="001512BF" w:rsidRPr="00324E30" w14:paraId="5A518168" w14:textId="77777777" w:rsidTr="00324E30">
        <w:trPr>
          <w:jc w:val="center"/>
        </w:trPr>
        <w:tc>
          <w:tcPr>
            <w:tcW w:w="15035" w:type="dxa"/>
            <w:gridSpan w:val="6"/>
            <w:tcBorders>
              <w:top w:val="single" w:sz="6" w:space="0" w:color="0D4D9E"/>
              <w:bottom w:val="single" w:sz="6" w:space="0" w:color="0D4D9E"/>
            </w:tcBorders>
            <w:shd w:val="clear" w:color="auto" w:fill="BBCEEB"/>
          </w:tcPr>
          <w:p w14:paraId="664759EB" w14:textId="77777777" w:rsidR="001512BF" w:rsidRPr="00324E30" w:rsidRDefault="00C03AAA" w:rsidP="002228A3">
            <w:pPr>
              <w:pStyle w:val="Acutecare-new-agenda-hed"/>
              <w:jc w:val="center"/>
              <w:rPr>
                <w:rFonts w:asciiTheme="minorHAnsi" w:hAnsiTheme="minorHAnsi" w:cstheme="minorHAnsi"/>
                <w:bCs/>
                <w:sz w:val="20"/>
              </w:rPr>
            </w:pPr>
            <w:r w:rsidRPr="00324E30">
              <w:rPr>
                <w:rFonts w:asciiTheme="minorHAnsi" w:hAnsiTheme="minorHAnsi" w:cstheme="minorHAnsi"/>
                <w:sz w:val="20"/>
              </w:rPr>
              <w:t>Wrong-patient errors at drive-thru</w:t>
            </w:r>
          </w:p>
        </w:tc>
      </w:tr>
      <w:tr w:rsidR="00C03AAA" w:rsidRPr="00324E30" w14:paraId="0B568DD3" w14:textId="77777777" w:rsidTr="00324E30">
        <w:trPr>
          <w:jc w:val="center"/>
        </w:trPr>
        <w:tc>
          <w:tcPr>
            <w:tcW w:w="792" w:type="dxa"/>
            <w:tcBorders>
              <w:top w:val="single" w:sz="6" w:space="0" w:color="0D4D9E"/>
              <w:bottom w:val="single" w:sz="6" w:space="0" w:color="0D4D9E"/>
            </w:tcBorders>
            <w:shd w:val="clear" w:color="auto" w:fill="F0EBD3"/>
          </w:tcPr>
          <w:p w14:paraId="03DE6859" w14:textId="77777777" w:rsidR="00C03AAA" w:rsidRPr="00324E30" w:rsidRDefault="00C03AAA" w:rsidP="00324E30">
            <w:pPr>
              <w:pStyle w:val="agenda-BODY"/>
              <w:rPr>
                <w:rFonts w:asciiTheme="minorHAnsi" w:hAnsiTheme="minorHAnsi" w:cstheme="minorHAnsi"/>
                <w:sz w:val="20"/>
              </w:rPr>
            </w:pPr>
            <w:r w:rsidRPr="00324E30">
              <w:rPr>
                <w:rFonts w:asciiTheme="minorHAnsi" w:hAnsiTheme="minorHAnsi" w:cstheme="minorHAnsi"/>
                <w:sz w:val="20"/>
              </w:rPr>
              <w:t>01/18</w:t>
            </w:r>
          </w:p>
        </w:tc>
        <w:tc>
          <w:tcPr>
            <w:tcW w:w="3312" w:type="dxa"/>
            <w:tcBorders>
              <w:top w:val="single" w:sz="6" w:space="0" w:color="0D4D9E"/>
              <w:bottom w:val="single" w:sz="6" w:space="0" w:color="0D4D9E"/>
            </w:tcBorders>
            <w:shd w:val="clear" w:color="auto" w:fill="FFF3D6"/>
          </w:tcPr>
          <w:p w14:paraId="0655D196" w14:textId="77777777" w:rsidR="00C03AAA" w:rsidRPr="0032227C" w:rsidRDefault="00C03AAA"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Wrong-patient errors occur at the pharmacy drive-thru. Factors contributing to these errors include sound quality of the intercom system and failure to use two patient identifiers (i.e., the patient’s full name and full date of birth). Only using an address to identify patients is not ideal, as people with the same last name often live together and addresses may not be up-to-date in computer systems. Mix-ups also can occur when prescriptions for patients with similar or same names are stored near each other in the will call area.</w:t>
            </w:r>
          </w:p>
          <w:p w14:paraId="25562443" w14:textId="77777777" w:rsidR="00324E30" w:rsidRPr="00324E30" w:rsidRDefault="00324E30" w:rsidP="00324E30">
            <w:pPr>
              <w:pStyle w:val="agenda-BODY"/>
              <w:rPr>
                <w:rFonts w:ascii="Calibri" w:hAnsi="Calibri" w:cs="Calibri"/>
                <w:sz w:val="20"/>
              </w:rPr>
            </w:pPr>
          </w:p>
        </w:tc>
        <w:tc>
          <w:tcPr>
            <w:tcW w:w="3312" w:type="dxa"/>
            <w:tcBorders>
              <w:top w:val="single" w:sz="6" w:space="0" w:color="0D4D9E"/>
              <w:bottom w:val="single" w:sz="6" w:space="0" w:color="0D4D9E"/>
            </w:tcBorders>
            <w:shd w:val="clear" w:color="auto" w:fill="F0EBD3"/>
          </w:tcPr>
          <w:p w14:paraId="74B9DDBA" w14:textId="77777777" w:rsidR="00C03AAA" w:rsidRPr="0032227C" w:rsidRDefault="00C03AAA" w:rsidP="00324E30">
            <w:pPr>
              <w:pStyle w:val="agenda-BODY"/>
              <w:rPr>
                <w:rFonts w:asciiTheme="minorHAnsi" w:hAnsiTheme="minorHAnsi" w:cstheme="minorHAnsi"/>
                <w:spacing w:val="-3"/>
                <w:sz w:val="20"/>
              </w:rPr>
            </w:pPr>
            <w:r w:rsidRPr="0032227C">
              <w:rPr>
                <w:rFonts w:asciiTheme="minorHAnsi" w:hAnsiTheme="minorHAnsi" w:cstheme="minorHAnsi"/>
                <w:spacing w:val="-3"/>
                <w:sz w:val="20"/>
              </w:rPr>
              <w:t>Always ask the patient to provide at least two patient identifiers—their full name and full date of birth—when picking up prescriptions. Consider asking the patient for a physical form of identification to minimize the risk of mishearing the patient. If sound quality is not sufficient, ask the patient to come into the store. Ask patients to open the bag of filled prescriptions to verify that the medicatio</w:t>
            </w:r>
            <w:bookmarkStart w:id="19" w:name="_GoBack"/>
            <w:bookmarkEnd w:id="19"/>
            <w:r w:rsidRPr="0032227C">
              <w:rPr>
                <w:rFonts w:asciiTheme="minorHAnsi" w:hAnsiTheme="minorHAnsi" w:cstheme="minorHAnsi"/>
                <w:spacing w:val="-3"/>
                <w:sz w:val="20"/>
              </w:rPr>
              <w:t>ns are correct before completing the transaction (i.e., before returning the patient’s form of payment or change).</w:t>
            </w:r>
          </w:p>
          <w:p w14:paraId="197C1C0A" w14:textId="77777777" w:rsidR="007E058F" w:rsidRPr="00324E30" w:rsidRDefault="007E058F" w:rsidP="00324E30">
            <w:pPr>
              <w:pStyle w:val="agenda-BODY"/>
              <w:rPr>
                <w:rFonts w:ascii="Calibri" w:hAnsi="Calibri" w:cs="Calibri"/>
                <w:sz w:val="20"/>
              </w:rPr>
            </w:pPr>
          </w:p>
        </w:tc>
        <w:tc>
          <w:tcPr>
            <w:tcW w:w="3299" w:type="dxa"/>
            <w:tcBorders>
              <w:top w:val="single" w:sz="6" w:space="0" w:color="0D4D9E"/>
              <w:bottom w:val="single" w:sz="6" w:space="0" w:color="0D4D9E"/>
            </w:tcBorders>
            <w:shd w:val="clear" w:color="auto" w:fill="FFFFFF"/>
          </w:tcPr>
          <w:p w14:paraId="494C5BA9" w14:textId="77777777" w:rsidR="00C03AAA" w:rsidRPr="00324E30" w:rsidRDefault="00C03AAA" w:rsidP="00B36686">
            <w:pPr>
              <w:pStyle w:val="Acutecare-new-agenda-hed"/>
              <w:tabs>
                <w:tab w:val="clear" w:pos="5735"/>
                <w:tab w:val="clear" w:pos="7906"/>
                <w:tab w:val="clear" w:pos="10080"/>
              </w:tabs>
              <w:rPr>
                <w:rFonts w:asciiTheme="minorHAnsi" w:hAnsiTheme="minorHAnsi" w:cstheme="minorHAnsi"/>
                <w:sz w:val="20"/>
              </w:rPr>
            </w:pPr>
          </w:p>
        </w:tc>
        <w:tc>
          <w:tcPr>
            <w:tcW w:w="2880" w:type="dxa"/>
            <w:tcBorders>
              <w:top w:val="single" w:sz="6" w:space="0" w:color="0D4D9E"/>
              <w:bottom w:val="single" w:sz="6" w:space="0" w:color="0D4D9E"/>
            </w:tcBorders>
            <w:shd w:val="clear" w:color="auto" w:fill="FFFFFF"/>
          </w:tcPr>
          <w:p w14:paraId="11654CCC" w14:textId="77777777" w:rsidR="00C03AAA" w:rsidRPr="00324E30" w:rsidRDefault="00C03AAA" w:rsidP="00B36686">
            <w:pPr>
              <w:pStyle w:val="Acutecare-new-agenda-hed"/>
              <w:tabs>
                <w:tab w:val="clear" w:pos="5735"/>
                <w:tab w:val="clear" w:pos="7906"/>
                <w:tab w:val="clear" w:pos="10080"/>
              </w:tabs>
              <w:rPr>
                <w:rFonts w:asciiTheme="minorHAnsi" w:hAnsiTheme="minorHAnsi" w:cstheme="minorHAnsi"/>
                <w:sz w:val="20"/>
              </w:rPr>
            </w:pPr>
          </w:p>
        </w:tc>
        <w:tc>
          <w:tcPr>
            <w:tcW w:w="1440" w:type="dxa"/>
            <w:tcBorders>
              <w:top w:val="single" w:sz="6" w:space="0" w:color="0D4D9E"/>
              <w:bottom w:val="single" w:sz="6" w:space="0" w:color="0D4D9E"/>
            </w:tcBorders>
            <w:shd w:val="clear" w:color="auto" w:fill="FFFFFF"/>
          </w:tcPr>
          <w:p w14:paraId="763FDEE2" w14:textId="77777777" w:rsidR="00C03AAA" w:rsidRPr="00324E30" w:rsidRDefault="00C03AAA" w:rsidP="00B36686">
            <w:pPr>
              <w:pStyle w:val="Acutecare-new-agenda-hed"/>
              <w:tabs>
                <w:tab w:val="clear" w:pos="5735"/>
                <w:tab w:val="clear" w:pos="7906"/>
                <w:tab w:val="clear" w:pos="10080"/>
              </w:tabs>
              <w:rPr>
                <w:rFonts w:asciiTheme="minorHAnsi" w:hAnsiTheme="minorHAnsi" w:cstheme="minorHAnsi"/>
                <w:sz w:val="20"/>
              </w:rPr>
            </w:pPr>
          </w:p>
        </w:tc>
      </w:tr>
    </w:tbl>
    <w:p w14:paraId="128B85BD" w14:textId="77777777" w:rsidR="00ED7DDF" w:rsidRPr="007E058F" w:rsidRDefault="00ED7DDF" w:rsidP="005D66E0">
      <w:pPr>
        <w:rPr>
          <w:sz w:val="2"/>
          <w:szCs w:val="2"/>
        </w:rPr>
      </w:pPr>
    </w:p>
    <w:sectPr w:rsidR="00ED7DDF" w:rsidRPr="007E058F" w:rsidSect="00E15A70">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553CE" w14:textId="77777777" w:rsidR="00BF6919" w:rsidRDefault="00BF6919">
      <w:r>
        <w:separator/>
      </w:r>
    </w:p>
  </w:endnote>
  <w:endnote w:type="continuationSeparator" w:id="0">
    <w:p w14:paraId="37C19A26" w14:textId="77777777" w:rsidR="00BF6919" w:rsidRDefault="00BF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7 Cn">
    <w:panose1 w:val="020B0506020202050204"/>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panose1 w:val="020B040602020204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LT Std 55">
    <w:panose1 w:val="020B0603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Univers LT Std 45 Light">
    <w:panose1 w:val="020B04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5272" w14:textId="77777777" w:rsidR="00D66B66" w:rsidRDefault="00D66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B18C" w14:textId="77777777"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RPr="00B8744A" w14:paraId="41B603A7" w14:textId="77777777" w:rsidTr="00B36686">
      <w:tc>
        <w:tcPr>
          <w:tcW w:w="4644" w:type="dxa"/>
          <w:shd w:val="clear" w:color="auto" w:fill="auto"/>
        </w:tcPr>
        <w:p w14:paraId="5887382D" w14:textId="77777777" w:rsidR="00571FC0" w:rsidRPr="00B8744A" w:rsidRDefault="00710F33" w:rsidP="00710F33">
          <w:pPr>
            <w:pStyle w:val="hosp-volume-no"/>
            <w:jc w:val="left"/>
            <w:rPr>
              <w:rFonts w:ascii="Univers LT Std 57 Cn" w:hAnsi="Univers LT Std 57 Cn"/>
            </w:rPr>
          </w:pPr>
          <w:r>
            <w:rPr>
              <w:rFonts w:ascii="Univers LT Std 57 Cn" w:hAnsi="Univers LT Std 57 Cn"/>
              <w:color w:val="000000"/>
            </w:rPr>
            <w:t>May 2018</w:t>
          </w:r>
        </w:p>
      </w:tc>
      <w:tc>
        <w:tcPr>
          <w:tcW w:w="4392" w:type="dxa"/>
          <w:shd w:val="clear" w:color="auto" w:fill="auto"/>
        </w:tcPr>
        <w:p w14:paraId="5682FAE6" w14:textId="77777777" w:rsidR="00571FC0" w:rsidRPr="00B8744A" w:rsidRDefault="00571FC0" w:rsidP="00B36686">
          <w:pPr>
            <w:jc w:val="center"/>
            <w:rPr>
              <w:rFonts w:ascii="Univers LT Std 57 Cn" w:hAnsi="Univers LT Std 57 Cn"/>
            </w:rPr>
          </w:pPr>
          <w:r w:rsidRPr="00B8744A">
            <w:rPr>
              <w:rFonts w:ascii="Univers LT Std 57 Cn" w:hAnsi="Univers LT Std 57 Cn"/>
              <w:position w:val="-1"/>
              <w:sz w:val="18"/>
            </w:rPr>
            <w:t>ISMP Medication</w:t>
          </w:r>
          <w:r w:rsidRPr="00B8744A">
            <w:rPr>
              <w:rFonts w:ascii="Univers LT Std 57 Cn" w:hAnsi="Univers LT Std 57 Cn"/>
              <w:b/>
              <w:position w:val="-1"/>
              <w:sz w:val="18"/>
            </w:rPr>
            <w:t>Safety</w:t>
          </w:r>
          <w:r w:rsidRPr="00B8744A">
            <w:rPr>
              <w:rFonts w:ascii="Univers LT Std 57 Cn" w:hAnsi="Univers LT Std 57 Cn"/>
              <w:position w:val="-1"/>
              <w:sz w:val="18"/>
            </w:rPr>
            <w:t>Alert!</w:t>
          </w:r>
          <w:r w:rsidRPr="00B8744A">
            <w:rPr>
              <w:rStyle w:val="Normal1"/>
              <w:rFonts w:ascii="Symbol" w:hAnsi="Symbol"/>
              <w:sz w:val="12"/>
              <w:szCs w:val="12"/>
              <w:vertAlign w:val="superscript"/>
            </w:rPr>
            <w:t></w:t>
          </w:r>
          <w:r w:rsidRPr="00B8744A">
            <w:rPr>
              <w:rFonts w:ascii="Univers LT Std 57 Cn" w:hAnsi="Univers LT Std 57 Cn"/>
            </w:rPr>
            <w:cr/>
          </w:r>
          <w:r w:rsidRPr="00B8744A">
            <w:rPr>
              <w:rFonts w:ascii="Univers LT Std 57 Cn" w:hAnsi="Univers LT Std 57 Cn"/>
              <w:position w:val="-1"/>
              <w:sz w:val="18"/>
            </w:rPr>
            <w:t>Community/Ambulatory Care Edition</w:t>
          </w:r>
        </w:p>
        <w:p w14:paraId="79E0409D" w14:textId="77777777" w:rsidR="00571FC0" w:rsidRPr="00B8744A" w:rsidRDefault="00571FC0" w:rsidP="00B36686">
          <w:pPr>
            <w:pStyle w:val="hosp-volume-no"/>
            <w:jc w:val="right"/>
            <w:rPr>
              <w:rFonts w:ascii="Univers LT Std 57 Cn" w:hAnsi="Univers LT Std 57 Cn"/>
            </w:rPr>
          </w:pPr>
        </w:p>
      </w:tc>
      <w:tc>
        <w:tcPr>
          <w:tcW w:w="5724" w:type="dxa"/>
          <w:shd w:val="clear" w:color="auto" w:fill="auto"/>
        </w:tcPr>
        <w:p w14:paraId="2B1BB8EE" w14:textId="77777777" w:rsidR="00900D82" w:rsidRPr="00B8744A" w:rsidRDefault="00900D82" w:rsidP="00900D82">
          <w:pPr>
            <w:pStyle w:val="hosp-volume-no"/>
            <w:jc w:val="right"/>
            <w:rPr>
              <w:rStyle w:val="PageNumber"/>
              <w:rFonts w:ascii="Univers LT Std 57 Cn" w:hAnsi="Univers LT Std 57 Cn"/>
              <w:color w:val="000000"/>
              <w:szCs w:val="24"/>
            </w:rPr>
          </w:pPr>
          <w:r>
            <w:rPr>
              <w:rFonts w:ascii="Univers LT Std 57 Cn" w:hAnsi="Univers LT Std 57 Cn"/>
            </w:rPr>
            <w:t>AA</w:t>
          </w:r>
          <w:r w:rsidRPr="00B8744A">
            <w:rPr>
              <w:rFonts w:ascii="Univers LT Std 57 Cn" w:hAnsi="Univers LT Std 57 Cn"/>
            </w:rPr>
            <w:t xml:space="preserve"> </w:t>
          </w:r>
          <w:r w:rsidRPr="00B8744A">
            <w:rPr>
              <w:rStyle w:val="PageNumber"/>
              <w:rFonts w:ascii="Univers LT Std 57 Cn" w:hAnsi="Univers LT Std 57 Cn"/>
              <w:color w:val="000000"/>
              <w:szCs w:val="24"/>
            </w:rPr>
            <w:fldChar w:fldCharType="begin"/>
          </w:r>
          <w:r w:rsidRPr="00B8744A">
            <w:rPr>
              <w:rStyle w:val="PageNumber"/>
              <w:rFonts w:ascii="Univers LT Std 57 Cn" w:hAnsi="Univers LT Std 57 Cn"/>
              <w:color w:val="000000"/>
              <w:szCs w:val="24"/>
            </w:rPr>
            <w:instrText xml:space="preserve"> PAGE </w:instrText>
          </w:r>
          <w:r w:rsidRPr="00B8744A">
            <w:rPr>
              <w:rStyle w:val="PageNumber"/>
              <w:rFonts w:ascii="Univers LT Std 57 Cn" w:hAnsi="Univers LT Std 57 Cn"/>
              <w:color w:val="000000"/>
              <w:szCs w:val="24"/>
            </w:rPr>
            <w:fldChar w:fldCharType="separate"/>
          </w:r>
          <w:r w:rsidR="0032227C">
            <w:rPr>
              <w:rStyle w:val="PageNumber"/>
              <w:rFonts w:ascii="Univers LT Std 57 Cn" w:hAnsi="Univers LT Std 57 Cn"/>
              <w:noProof/>
              <w:color w:val="000000"/>
              <w:szCs w:val="24"/>
            </w:rPr>
            <w:t>2</w:t>
          </w:r>
          <w:r w:rsidRPr="00B8744A">
            <w:rPr>
              <w:rStyle w:val="PageNumber"/>
              <w:rFonts w:ascii="Univers LT Std 57 Cn" w:hAnsi="Univers LT Std 57 Cn"/>
              <w:color w:val="000000"/>
              <w:szCs w:val="24"/>
            </w:rPr>
            <w:fldChar w:fldCharType="end"/>
          </w:r>
        </w:p>
        <w:p w14:paraId="61923988" w14:textId="77777777" w:rsidR="00571FC0" w:rsidRPr="00B8744A" w:rsidRDefault="00571FC0" w:rsidP="00B36686">
          <w:pPr>
            <w:pStyle w:val="hosp-volume-no"/>
            <w:jc w:val="right"/>
            <w:rPr>
              <w:rFonts w:ascii="Univers LT Std 57 Cn" w:hAnsi="Univers LT Std 57 Cn"/>
            </w:rPr>
          </w:pPr>
        </w:p>
      </w:tc>
    </w:tr>
  </w:tbl>
  <w:p w14:paraId="7EB6F10F" w14:textId="77777777" w:rsidR="00571FC0" w:rsidRPr="00B8744A" w:rsidRDefault="00571FC0" w:rsidP="00037545">
    <w:pPr>
      <w:pStyle w:val="Footer"/>
      <w:rPr>
        <w:rFonts w:ascii="Univers LT Std 57 Cn" w:hAnsi="Univers LT Std 57 Cn"/>
      </w:rPr>
    </w:pPr>
  </w:p>
  <w:p w14:paraId="4B4AD305" w14:textId="77777777" w:rsidR="00571FC0" w:rsidRDefault="00571F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46A9" w14:textId="77777777" w:rsidR="00571FC0" w:rsidRPr="00343F6F" w:rsidRDefault="00571FC0" w:rsidP="00DF38FA">
    <w:pPr>
      <w:pStyle w:val="Footer"/>
      <w:ind w:right="-180"/>
      <w:rPr>
        <w:rFonts w:ascii="Univers LT Std 57 Cn" w:hAnsi="Univers LT Std 57 Cn"/>
      </w:rPr>
    </w:pPr>
  </w:p>
  <w:tbl>
    <w:tblPr>
      <w:tblW w:w="14760" w:type="dxa"/>
      <w:tblInd w:w="-252" w:type="dxa"/>
      <w:tblLook w:val="01E0" w:firstRow="1" w:lastRow="1" w:firstColumn="1" w:lastColumn="1" w:noHBand="0" w:noVBand="0"/>
    </w:tblPr>
    <w:tblGrid>
      <w:gridCol w:w="4644"/>
      <w:gridCol w:w="4392"/>
      <w:gridCol w:w="5724"/>
    </w:tblGrid>
    <w:tr w:rsidR="00571FC0" w:rsidRPr="00343F6F" w14:paraId="35C5DF5D" w14:textId="77777777" w:rsidTr="00B36686">
      <w:tc>
        <w:tcPr>
          <w:tcW w:w="4644" w:type="dxa"/>
          <w:shd w:val="clear" w:color="auto" w:fill="auto"/>
        </w:tcPr>
        <w:p w14:paraId="110F81C3" w14:textId="77777777" w:rsidR="00571FC0" w:rsidRPr="00343F6F" w:rsidRDefault="00C3115B" w:rsidP="005C307A">
          <w:pPr>
            <w:pStyle w:val="hosp-volume-no"/>
            <w:jc w:val="left"/>
            <w:rPr>
              <w:rFonts w:ascii="Univers LT Std 57 Cn" w:hAnsi="Univers LT Std 57 Cn"/>
            </w:rPr>
          </w:pPr>
          <w:r>
            <w:rPr>
              <w:rFonts w:ascii="Univers LT Std 57 Cn" w:hAnsi="Univers LT Std 57 Cn"/>
              <w:color w:val="000000"/>
            </w:rPr>
            <w:t>May</w:t>
          </w:r>
          <w:r w:rsidR="005C307A" w:rsidRPr="00343F6F">
            <w:rPr>
              <w:rFonts w:ascii="Univers LT Std 57 Cn" w:hAnsi="Univers LT Std 57 Cn"/>
              <w:color w:val="000000"/>
            </w:rPr>
            <w:t xml:space="preserve"> 2018</w:t>
          </w:r>
        </w:p>
      </w:tc>
      <w:tc>
        <w:tcPr>
          <w:tcW w:w="4392" w:type="dxa"/>
          <w:shd w:val="clear" w:color="auto" w:fill="auto"/>
        </w:tcPr>
        <w:p w14:paraId="1AF1CA71" w14:textId="77777777" w:rsidR="00571FC0" w:rsidRPr="00343F6F" w:rsidRDefault="00571FC0" w:rsidP="00B36686">
          <w:pPr>
            <w:jc w:val="center"/>
            <w:rPr>
              <w:rFonts w:ascii="Univers LT Std 57 Cn" w:hAnsi="Univers LT Std 57 Cn"/>
            </w:rPr>
          </w:pPr>
          <w:r w:rsidRPr="00343F6F">
            <w:rPr>
              <w:rFonts w:ascii="Univers LT Std 57 Cn" w:hAnsi="Univers LT Std 57 Cn"/>
              <w:position w:val="-1"/>
              <w:sz w:val="18"/>
            </w:rPr>
            <w:t>ISMP Medication</w:t>
          </w:r>
          <w:r w:rsidRPr="00DB1EB8">
            <w:rPr>
              <w:rFonts w:ascii="Univers LT Std 57 Cn" w:hAnsi="Univers LT Std 57 Cn"/>
              <w:b/>
              <w:position w:val="-1"/>
              <w:sz w:val="18"/>
            </w:rPr>
            <w:t>Safety</w:t>
          </w:r>
          <w:r w:rsidRPr="00343F6F">
            <w:rPr>
              <w:rFonts w:ascii="Univers LT Std 57 Cn" w:hAnsi="Univers LT Std 57 Cn"/>
              <w:position w:val="-1"/>
              <w:sz w:val="18"/>
            </w:rPr>
            <w:t>Alert!</w:t>
          </w:r>
          <w:r w:rsidRPr="00343F6F">
            <w:rPr>
              <w:rStyle w:val="Normal1"/>
              <w:rFonts w:ascii="Symbol" w:hAnsi="Symbol"/>
              <w:sz w:val="12"/>
              <w:szCs w:val="12"/>
              <w:vertAlign w:val="superscript"/>
            </w:rPr>
            <w:t></w:t>
          </w:r>
          <w:r w:rsidRPr="00343F6F">
            <w:rPr>
              <w:rFonts w:ascii="Univers LT Std 57 Cn" w:hAnsi="Univers LT Std 57 Cn"/>
            </w:rPr>
            <w:cr/>
          </w:r>
          <w:r w:rsidRPr="00343F6F">
            <w:rPr>
              <w:rFonts w:ascii="Univers LT Std 57 Cn" w:hAnsi="Univers LT Std 57 Cn"/>
              <w:position w:val="-1"/>
              <w:sz w:val="18"/>
            </w:rPr>
            <w:t>Community/Ambulatory Care Edition</w:t>
          </w:r>
        </w:p>
        <w:p w14:paraId="48F01828" w14:textId="77777777" w:rsidR="00571FC0" w:rsidRPr="00343F6F" w:rsidRDefault="00571FC0" w:rsidP="00B36686">
          <w:pPr>
            <w:pStyle w:val="hosp-volume-no"/>
            <w:jc w:val="right"/>
            <w:rPr>
              <w:rFonts w:ascii="Univers LT Std 57 Cn" w:hAnsi="Univers LT Std 57 Cn"/>
            </w:rPr>
          </w:pPr>
        </w:p>
      </w:tc>
      <w:tc>
        <w:tcPr>
          <w:tcW w:w="5724" w:type="dxa"/>
          <w:shd w:val="clear" w:color="auto" w:fill="auto"/>
        </w:tcPr>
        <w:p w14:paraId="3DDB9ED5" w14:textId="77777777" w:rsidR="00571FC0" w:rsidRPr="00343F6F" w:rsidRDefault="00B328BD" w:rsidP="00B36686">
          <w:pPr>
            <w:pStyle w:val="hosp-volume-no"/>
            <w:jc w:val="right"/>
            <w:rPr>
              <w:rStyle w:val="PageNumber"/>
              <w:rFonts w:ascii="Univers LT Std 57 Cn" w:hAnsi="Univers LT Std 57 Cn"/>
              <w:color w:val="000000"/>
              <w:szCs w:val="24"/>
            </w:rPr>
          </w:pPr>
          <w:r>
            <w:rPr>
              <w:rFonts w:ascii="Univers LT Std 57 Cn" w:hAnsi="Univers LT Std 57 Cn"/>
            </w:rPr>
            <w:t>AA 1</w:t>
          </w:r>
        </w:p>
        <w:p w14:paraId="2D69253A" w14:textId="77777777" w:rsidR="00571FC0" w:rsidRPr="00343F6F" w:rsidRDefault="00571FC0" w:rsidP="00B36686">
          <w:pPr>
            <w:pStyle w:val="hosp-volume-no"/>
            <w:jc w:val="right"/>
            <w:rPr>
              <w:rFonts w:ascii="Univers LT Std 57 Cn" w:hAnsi="Univers LT Std 57 Cn"/>
            </w:rPr>
          </w:pPr>
        </w:p>
      </w:tc>
    </w:tr>
  </w:tbl>
  <w:p w14:paraId="0316BC98" w14:textId="77777777" w:rsidR="00571FC0" w:rsidRPr="00343F6F" w:rsidRDefault="00571FC0">
    <w:pPr>
      <w:pStyle w:val="Footer"/>
      <w:rPr>
        <w:rFonts w:ascii="Univers LT Std 57 Cn" w:hAnsi="Univers LT Std 57 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CF5A9" w14:textId="77777777" w:rsidR="00BF6919" w:rsidRDefault="00BF6919">
      <w:r>
        <w:separator/>
      </w:r>
    </w:p>
  </w:footnote>
  <w:footnote w:type="continuationSeparator" w:id="0">
    <w:p w14:paraId="6D34A378" w14:textId="77777777" w:rsidR="00BF6919" w:rsidRDefault="00BF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19D89" w14:textId="77777777" w:rsidR="00D66B66" w:rsidRDefault="00D66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F9D4" w14:textId="77777777" w:rsidR="00571FC0" w:rsidRPr="00A62136" w:rsidRDefault="00C3115B" w:rsidP="00F56B2D">
    <w:pPr>
      <w:jc w:val="center"/>
      <w:rPr>
        <w:rFonts w:ascii="Univers LT Std 55" w:hAnsi="Univers LT Std 55"/>
        <w:color w:val="999999"/>
        <w:sz w:val="18"/>
      </w:rPr>
    </w:pPr>
    <w:r>
      <w:rPr>
        <w:rFonts w:ascii="Univers LT Std 55" w:hAnsi="Univers LT Std 55"/>
        <w:color w:val="999999"/>
        <w:sz w:val="18"/>
      </w:rPr>
      <w:t>January – April 2018</w:t>
    </w:r>
  </w:p>
  <w:p w14:paraId="1DC138F2" w14:textId="77777777" w:rsidR="00571FC0" w:rsidRPr="00A62136" w:rsidRDefault="00571FC0" w:rsidP="002D0D7C">
    <w:pPr>
      <w:ind w:right="-180"/>
      <w:jc w:val="center"/>
      <w:rPr>
        <w:rFonts w:ascii="Univers LT Std 55" w:hAnsi="Univers LT Std 55"/>
        <w:color w:val="0D4D9E"/>
        <w:sz w:val="12"/>
      </w:rPr>
    </w:pPr>
    <w:r w:rsidRPr="00A62136">
      <w:rPr>
        <w:rFonts w:ascii="Univers LT Std 55" w:hAnsi="Univers LT Std 55"/>
        <w:i/>
        <w:color w:val="0D4D9E"/>
        <w:position w:val="-2"/>
        <w:sz w:val="18"/>
      </w:rPr>
      <w:t>ISMP</w:t>
    </w:r>
    <w:r w:rsidRPr="00A62136">
      <w:rPr>
        <w:rFonts w:ascii="Univers LT Std 55" w:hAnsi="Univers LT Std 55"/>
        <w:color w:val="0D4D9E"/>
        <w:position w:val="-3"/>
        <w:sz w:val="32"/>
      </w:rPr>
      <w:t xml:space="preserve"> </w:t>
    </w:r>
    <w:r w:rsidR="00C3115B">
      <w:rPr>
        <w:rFonts w:ascii="Univers LT Std 55" w:hAnsi="Univers LT Std 55"/>
        <w:b/>
        <w:color w:val="0D4D9E"/>
        <w:position w:val="-3"/>
        <w:sz w:val="32"/>
      </w:rPr>
      <w:t>Action</w:t>
    </w:r>
    <w:r w:rsidRPr="00A62136">
      <w:rPr>
        <w:rFonts w:ascii="Univers LT Std 55" w:hAnsi="Univers LT Std 55"/>
        <w:color w:val="0D4D9E"/>
        <w:position w:val="-3"/>
        <w:sz w:val="32"/>
      </w:rPr>
      <w:t>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AFB4" w14:textId="77777777" w:rsidR="00571FC0" w:rsidRPr="00FB349E" w:rsidRDefault="00C3115B" w:rsidP="00D66374">
    <w:pPr>
      <w:jc w:val="center"/>
      <w:rPr>
        <w:rFonts w:ascii="Univers LT Std 55" w:hAnsi="Univers LT Std 55"/>
        <w:color w:val="999999"/>
        <w:sz w:val="18"/>
      </w:rPr>
    </w:pPr>
    <w:r>
      <w:rPr>
        <w:rFonts w:ascii="Univers LT Std 55" w:hAnsi="Univers LT Std 55"/>
        <w:color w:val="999999"/>
        <w:sz w:val="18"/>
      </w:rPr>
      <w:t>January – April 2018</w:t>
    </w:r>
  </w:p>
  <w:p w14:paraId="58815419" w14:textId="77777777" w:rsidR="00571FC0" w:rsidRPr="008455F2" w:rsidRDefault="00273C8B" w:rsidP="00273C8B">
    <w:pPr>
      <w:jc w:val="center"/>
      <w:textAlignment w:val="baseline"/>
      <w:rPr>
        <w:color w:val="0D4D9E"/>
      </w:rPr>
    </w:pPr>
    <w:r w:rsidRPr="00273C8B">
      <w:rPr>
        <w:rFonts w:ascii="Univers LT Std 55" w:eastAsia="Univers LT Std 55" w:hAnsi="Univers LT Std 55" w:cs="Univers LT Std 55"/>
        <w:b/>
        <w:i/>
        <w:color w:val="141F86"/>
        <w:spacing w:val="-12"/>
        <w:w w:val="97"/>
        <w:position w:val="-2"/>
        <w:sz w:val="34"/>
        <w:lang w:bidi="en-US"/>
      </w:rPr>
      <w:t>ISMP</w:t>
    </w:r>
    <w:r w:rsidR="00C3115B">
      <w:rPr>
        <w:rFonts w:ascii="Univers LT Std 55" w:eastAsia="Univers LT Std 55" w:hAnsi="Univers LT Std 55" w:cs="Univers LT Std 55"/>
        <w:b/>
        <w:i/>
        <w:color w:val="141F86"/>
        <w:spacing w:val="-12"/>
        <w:w w:val="97"/>
        <w:position w:val="-2"/>
        <w:sz w:val="34"/>
        <w:lang w:bidi="en-US"/>
      </w:rPr>
      <w:t xml:space="preserve"> </w:t>
    </w:r>
    <w:r w:rsidR="00C3115B" w:rsidRPr="00C3115B">
      <w:rPr>
        <w:rFonts w:ascii="Univers LT Std 55" w:eastAsia="Univers LT Std 55" w:hAnsi="Univers LT Std 55" w:cs="Univers LT Std 55"/>
        <w:i/>
        <w:color w:val="141F86"/>
        <w:spacing w:val="-12"/>
        <w:w w:val="97"/>
        <w:position w:val="-2"/>
        <w:sz w:val="34"/>
        <w:lang w:bidi="en-US"/>
      </w:rPr>
      <w:t>Medication Safety Alert!</w:t>
    </w:r>
    <w:r w:rsidRPr="00273C8B">
      <w:rPr>
        <w:rFonts w:ascii="Univers LT Std 45 Light" w:eastAsia="Univers LT Std 45 Light" w:hAnsi="Univers LT Std 45 Light" w:cs="Univers LT Std 45 Light"/>
        <w:color w:val="141F86"/>
        <w:spacing w:val="-18"/>
        <w:w w:val="97"/>
        <w:position w:val="-3"/>
        <w:sz w:val="54"/>
        <w:lang w:bidi="en-US"/>
      </w:rPr>
      <w:t xml:space="preserve"> </w:t>
    </w:r>
    <w:r w:rsidRPr="00273C8B">
      <w:rPr>
        <w:rFonts w:ascii="Univers LT Std 55" w:eastAsia="Univers LT Std 55" w:hAnsi="Univers LT Std 55" w:cs="Univers LT Std 55"/>
        <w:b/>
        <w:color w:val="141F86"/>
        <w:spacing w:val="-18"/>
        <w:w w:val="97"/>
        <w:position w:val="-3"/>
        <w:sz w:val="54"/>
        <w:lang w:bidi="en-US"/>
      </w:rPr>
      <w:t>Action</w:t>
    </w:r>
    <w:r w:rsidRPr="00273C8B">
      <w:rPr>
        <w:rFonts w:ascii="Univers LT Std 55" w:eastAsia="Univers LT Std 55" w:hAnsi="Univers LT Std 55" w:cs="Univers LT Std 55"/>
        <w:color w:val="141F86"/>
        <w:spacing w:val="-18"/>
        <w:w w:val="97"/>
        <w:position w:val="-3"/>
        <w:sz w:val="54"/>
        <w:lang w:bidi="en-US"/>
      </w:rPr>
      <w:t>Agenda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4097">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9A7"/>
    <w:rsid w:val="0000263F"/>
    <w:rsid w:val="00005D76"/>
    <w:rsid w:val="00007686"/>
    <w:rsid w:val="000136D2"/>
    <w:rsid w:val="0001627D"/>
    <w:rsid w:val="00022EF4"/>
    <w:rsid w:val="00023304"/>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36F07"/>
    <w:rsid w:val="00137B58"/>
    <w:rsid w:val="001451F0"/>
    <w:rsid w:val="001512BF"/>
    <w:rsid w:val="00157C53"/>
    <w:rsid w:val="00161303"/>
    <w:rsid w:val="001655FA"/>
    <w:rsid w:val="00171CDF"/>
    <w:rsid w:val="001737E2"/>
    <w:rsid w:val="001759C0"/>
    <w:rsid w:val="001770AC"/>
    <w:rsid w:val="00183329"/>
    <w:rsid w:val="001A4415"/>
    <w:rsid w:val="001B30D8"/>
    <w:rsid w:val="001B4218"/>
    <w:rsid w:val="001C76EB"/>
    <w:rsid w:val="001D00E3"/>
    <w:rsid w:val="001D2E86"/>
    <w:rsid w:val="001E05A5"/>
    <w:rsid w:val="001E09D5"/>
    <w:rsid w:val="001F166C"/>
    <w:rsid w:val="001F4C4B"/>
    <w:rsid w:val="00200157"/>
    <w:rsid w:val="00200908"/>
    <w:rsid w:val="002228A3"/>
    <w:rsid w:val="002261C9"/>
    <w:rsid w:val="0023241D"/>
    <w:rsid w:val="00235ABC"/>
    <w:rsid w:val="002527D2"/>
    <w:rsid w:val="00273C8B"/>
    <w:rsid w:val="00276E72"/>
    <w:rsid w:val="00282888"/>
    <w:rsid w:val="00292167"/>
    <w:rsid w:val="00293636"/>
    <w:rsid w:val="002A432E"/>
    <w:rsid w:val="002B2DA7"/>
    <w:rsid w:val="002B79E7"/>
    <w:rsid w:val="002C0BAF"/>
    <w:rsid w:val="002C7C0B"/>
    <w:rsid w:val="002D0AC8"/>
    <w:rsid w:val="002D0D7C"/>
    <w:rsid w:val="002D4152"/>
    <w:rsid w:val="002E16D6"/>
    <w:rsid w:val="0030067D"/>
    <w:rsid w:val="00311B3C"/>
    <w:rsid w:val="00317141"/>
    <w:rsid w:val="00317B44"/>
    <w:rsid w:val="00320B7E"/>
    <w:rsid w:val="0032227C"/>
    <w:rsid w:val="00324E30"/>
    <w:rsid w:val="00330C42"/>
    <w:rsid w:val="00331306"/>
    <w:rsid w:val="00343F6F"/>
    <w:rsid w:val="003517AB"/>
    <w:rsid w:val="00352199"/>
    <w:rsid w:val="00352C0F"/>
    <w:rsid w:val="00363D17"/>
    <w:rsid w:val="0038144F"/>
    <w:rsid w:val="00391E76"/>
    <w:rsid w:val="003920B6"/>
    <w:rsid w:val="003957A8"/>
    <w:rsid w:val="00397550"/>
    <w:rsid w:val="003A2BB2"/>
    <w:rsid w:val="003B69A5"/>
    <w:rsid w:val="003C0364"/>
    <w:rsid w:val="003C0D38"/>
    <w:rsid w:val="003E7BFC"/>
    <w:rsid w:val="00405850"/>
    <w:rsid w:val="00407D1A"/>
    <w:rsid w:val="00422005"/>
    <w:rsid w:val="00446E8F"/>
    <w:rsid w:val="00450B0C"/>
    <w:rsid w:val="0046245C"/>
    <w:rsid w:val="00473B6D"/>
    <w:rsid w:val="00481D01"/>
    <w:rsid w:val="00482777"/>
    <w:rsid w:val="004917B7"/>
    <w:rsid w:val="0049572E"/>
    <w:rsid w:val="004A4611"/>
    <w:rsid w:val="004A716E"/>
    <w:rsid w:val="004B0130"/>
    <w:rsid w:val="004B2623"/>
    <w:rsid w:val="004B29BE"/>
    <w:rsid w:val="004B309D"/>
    <w:rsid w:val="004C4A63"/>
    <w:rsid w:val="004C79A5"/>
    <w:rsid w:val="004F0D06"/>
    <w:rsid w:val="00502537"/>
    <w:rsid w:val="00503C5E"/>
    <w:rsid w:val="005069E3"/>
    <w:rsid w:val="00510080"/>
    <w:rsid w:val="005168EB"/>
    <w:rsid w:val="005226C7"/>
    <w:rsid w:val="00533376"/>
    <w:rsid w:val="00540581"/>
    <w:rsid w:val="00541A8C"/>
    <w:rsid w:val="00556D1F"/>
    <w:rsid w:val="00562B2F"/>
    <w:rsid w:val="00565948"/>
    <w:rsid w:val="00571FC0"/>
    <w:rsid w:val="005755AB"/>
    <w:rsid w:val="005979DB"/>
    <w:rsid w:val="005B24A2"/>
    <w:rsid w:val="005B2CAD"/>
    <w:rsid w:val="005C016C"/>
    <w:rsid w:val="005C0DB2"/>
    <w:rsid w:val="005C307A"/>
    <w:rsid w:val="005D26FA"/>
    <w:rsid w:val="005D2A75"/>
    <w:rsid w:val="005D66E0"/>
    <w:rsid w:val="005E5138"/>
    <w:rsid w:val="005E51CD"/>
    <w:rsid w:val="005E73C8"/>
    <w:rsid w:val="005E790A"/>
    <w:rsid w:val="006314AA"/>
    <w:rsid w:val="00632432"/>
    <w:rsid w:val="0063493C"/>
    <w:rsid w:val="0063613F"/>
    <w:rsid w:val="0066080D"/>
    <w:rsid w:val="006630A4"/>
    <w:rsid w:val="0067063E"/>
    <w:rsid w:val="00675C4D"/>
    <w:rsid w:val="00684D1E"/>
    <w:rsid w:val="00685901"/>
    <w:rsid w:val="006872A9"/>
    <w:rsid w:val="006B0563"/>
    <w:rsid w:val="006B4006"/>
    <w:rsid w:val="006C0394"/>
    <w:rsid w:val="006C1155"/>
    <w:rsid w:val="006C7A0A"/>
    <w:rsid w:val="006D1340"/>
    <w:rsid w:val="006D671A"/>
    <w:rsid w:val="006E656E"/>
    <w:rsid w:val="006F0B2B"/>
    <w:rsid w:val="006F6697"/>
    <w:rsid w:val="00710F33"/>
    <w:rsid w:val="007172C0"/>
    <w:rsid w:val="00720867"/>
    <w:rsid w:val="0072480E"/>
    <w:rsid w:val="007266B9"/>
    <w:rsid w:val="00736820"/>
    <w:rsid w:val="00757D59"/>
    <w:rsid w:val="007622A8"/>
    <w:rsid w:val="00763821"/>
    <w:rsid w:val="0078775E"/>
    <w:rsid w:val="00787925"/>
    <w:rsid w:val="0079079C"/>
    <w:rsid w:val="00795F58"/>
    <w:rsid w:val="007A3331"/>
    <w:rsid w:val="007B3E30"/>
    <w:rsid w:val="007C357E"/>
    <w:rsid w:val="007C5952"/>
    <w:rsid w:val="007D70CF"/>
    <w:rsid w:val="007E058F"/>
    <w:rsid w:val="007E4305"/>
    <w:rsid w:val="007F2CD5"/>
    <w:rsid w:val="007F3754"/>
    <w:rsid w:val="007F6FE5"/>
    <w:rsid w:val="007F7AE7"/>
    <w:rsid w:val="00815A02"/>
    <w:rsid w:val="008219D3"/>
    <w:rsid w:val="0082558E"/>
    <w:rsid w:val="008279B2"/>
    <w:rsid w:val="00837D17"/>
    <w:rsid w:val="008455F2"/>
    <w:rsid w:val="00853864"/>
    <w:rsid w:val="008746DC"/>
    <w:rsid w:val="008869A7"/>
    <w:rsid w:val="0089012D"/>
    <w:rsid w:val="00892D86"/>
    <w:rsid w:val="00893CF3"/>
    <w:rsid w:val="00894342"/>
    <w:rsid w:val="008A237E"/>
    <w:rsid w:val="008B248A"/>
    <w:rsid w:val="008C06DD"/>
    <w:rsid w:val="008C4BCC"/>
    <w:rsid w:val="008C4CFB"/>
    <w:rsid w:val="008D39F5"/>
    <w:rsid w:val="008D7CCF"/>
    <w:rsid w:val="008E38BF"/>
    <w:rsid w:val="008E77D1"/>
    <w:rsid w:val="008F2E96"/>
    <w:rsid w:val="00900D82"/>
    <w:rsid w:val="00907D54"/>
    <w:rsid w:val="00916416"/>
    <w:rsid w:val="00930886"/>
    <w:rsid w:val="009459E4"/>
    <w:rsid w:val="0096106F"/>
    <w:rsid w:val="00966C3E"/>
    <w:rsid w:val="00966EB6"/>
    <w:rsid w:val="00971EF2"/>
    <w:rsid w:val="00975D5C"/>
    <w:rsid w:val="00982209"/>
    <w:rsid w:val="009A327D"/>
    <w:rsid w:val="009A59FA"/>
    <w:rsid w:val="009A76D2"/>
    <w:rsid w:val="009F5965"/>
    <w:rsid w:val="00A02ECF"/>
    <w:rsid w:val="00A0309D"/>
    <w:rsid w:val="00A107FA"/>
    <w:rsid w:val="00A17AFE"/>
    <w:rsid w:val="00A201A5"/>
    <w:rsid w:val="00A30BF2"/>
    <w:rsid w:val="00A32D65"/>
    <w:rsid w:val="00A41E36"/>
    <w:rsid w:val="00A53FFE"/>
    <w:rsid w:val="00A5481A"/>
    <w:rsid w:val="00A61736"/>
    <w:rsid w:val="00A62136"/>
    <w:rsid w:val="00A6494A"/>
    <w:rsid w:val="00A65BFF"/>
    <w:rsid w:val="00A66F76"/>
    <w:rsid w:val="00A6798F"/>
    <w:rsid w:val="00A741DB"/>
    <w:rsid w:val="00A81AFD"/>
    <w:rsid w:val="00A91A1D"/>
    <w:rsid w:val="00A94372"/>
    <w:rsid w:val="00AA7508"/>
    <w:rsid w:val="00AB6586"/>
    <w:rsid w:val="00AC0268"/>
    <w:rsid w:val="00AC5EC7"/>
    <w:rsid w:val="00AD200C"/>
    <w:rsid w:val="00AE0770"/>
    <w:rsid w:val="00AE4ABA"/>
    <w:rsid w:val="00AF2107"/>
    <w:rsid w:val="00AF213F"/>
    <w:rsid w:val="00AF29B5"/>
    <w:rsid w:val="00B0339A"/>
    <w:rsid w:val="00B201FC"/>
    <w:rsid w:val="00B328BD"/>
    <w:rsid w:val="00B36686"/>
    <w:rsid w:val="00B66999"/>
    <w:rsid w:val="00B722C2"/>
    <w:rsid w:val="00B7742B"/>
    <w:rsid w:val="00B81EEF"/>
    <w:rsid w:val="00B8744A"/>
    <w:rsid w:val="00B91D3F"/>
    <w:rsid w:val="00B967D6"/>
    <w:rsid w:val="00BA0902"/>
    <w:rsid w:val="00BA6BF3"/>
    <w:rsid w:val="00BB0667"/>
    <w:rsid w:val="00BB6696"/>
    <w:rsid w:val="00BD05AF"/>
    <w:rsid w:val="00BD110C"/>
    <w:rsid w:val="00BE2252"/>
    <w:rsid w:val="00BF6076"/>
    <w:rsid w:val="00BF6919"/>
    <w:rsid w:val="00C01E22"/>
    <w:rsid w:val="00C02132"/>
    <w:rsid w:val="00C03AAA"/>
    <w:rsid w:val="00C1299F"/>
    <w:rsid w:val="00C15944"/>
    <w:rsid w:val="00C301D5"/>
    <w:rsid w:val="00C3115B"/>
    <w:rsid w:val="00C43829"/>
    <w:rsid w:val="00C44915"/>
    <w:rsid w:val="00C54D89"/>
    <w:rsid w:val="00C56E2D"/>
    <w:rsid w:val="00C67F47"/>
    <w:rsid w:val="00C71391"/>
    <w:rsid w:val="00C80DC7"/>
    <w:rsid w:val="00C82554"/>
    <w:rsid w:val="00C84627"/>
    <w:rsid w:val="00CB7905"/>
    <w:rsid w:val="00CC1137"/>
    <w:rsid w:val="00CC276A"/>
    <w:rsid w:val="00CC7533"/>
    <w:rsid w:val="00CE6043"/>
    <w:rsid w:val="00CF6895"/>
    <w:rsid w:val="00D0668D"/>
    <w:rsid w:val="00D3033B"/>
    <w:rsid w:val="00D36378"/>
    <w:rsid w:val="00D5110F"/>
    <w:rsid w:val="00D6578C"/>
    <w:rsid w:val="00D66374"/>
    <w:rsid w:val="00D66B66"/>
    <w:rsid w:val="00D763EF"/>
    <w:rsid w:val="00D84E5E"/>
    <w:rsid w:val="00D96759"/>
    <w:rsid w:val="00D969B6"/>
    <w:rsid w:val="00DA4619"/>
    <w:rsid w:val="00DB0EA0"/>
    <w:rsid w:val="00DB1EA4"/>
    <w:rsid w:val="00DB1EB8"/>
    <w:rsid w:val="00DB2E0D"/>
    <w:rsid w:val="00DB7740"/>
    <w:rsid w:val="00DC20B4"/>
    <w:rsid w:val="00DE62D1"/>
    <w:rsid w:val="00DE76F4"/>
    <w:rsid w:val="00DE77D2"/>
    <w:rsid w:val="00DF38FA"/>
    <w:rsid w:val="00DF45D1"/>
    <w:rsid w:val="00E138BE"/>
    <w:rsid w:val="00E15A70"/>
    <w:rsid w:val="00E2071C"/>
    <w:rsid w:val="00E20F27"/>
    <w:rsid w:val="00E325CF"/>
    <w:rsid w:val="00E4096B"/>
    <w:rsid w:val="00E50A5E"/>
    <w:rsid w:val="00E512B3"/>
    <w:rsid w:val="00E62435"/>
    <w:rsid w:val="00E810F8"/>
    <w:rsid w:val="00E872FA"/>
    <w:rsid w:val="00E91CB5"/>
    <w:rsid w:val="00EA4612"/>
    <w:rsid w:val="00EA5888"/>
    <w:rsid w:val="00EC0343"/>
    <w:rsid w:val="00ED7DDF"/>
    <w:rsid w:val="00EE1B61"/>
    <w:rsid w:val="00F003F7"/>
    <w:rsid w:val="00F026EA"/>
    <w:rsid w:val="00F25E6B"/>
    <w:rsid w:val="00F37A22"/>
    <w:rsid w:val="00F41A79"/>
    <w:rsid w:val="00F435C0"/>
    <w:rsid w:val="00F52484"/>
    <w:rsid w:val="00F53E84"/>
    <w:rsid w:val="00F56B2D"/>
    <w:rsid w:val="00F63EBC"/>
    <w:rsid w:val="00F73AF8"/>
    <w:rsid w:val="00F8736B"/>
    <w:rsid w:val="00F87C0A"/>
    <w:rsid w:val="00F901ED"/>
    <w:rsid w:val="00F940BA"/>
    <w:rsid w:val="00F95EC3"/>
    <w:rsid w:val="00FA3D62"/>
    <w:rsid w:val="00FB2CD6"/>
    <w:rsid w:val="00FB349E"/>
    <w:rsid w:val="00FC3995"/>
    <w:rsid w:val="00FE2E2C"/>
    <w:rsid w:val="00FE4EBE"/>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ffc"/>
    </o:shapedefaults>
    <o:shapelayout v:ext="edit">
      <o:idmap v:ext="edit" data="1"/>
    </o:shapelayout>
  </w:shapeDefaults>
  <w:decimalSymbol w:val="."/>
  <w:listSeparator w:val=","/>
  <w14:docId w14:val="2F442CA8"/>
  <w15:docId w15:val="{68CCA10F-4615-4C24-BA13-0147B8CD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67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1B30D8"/>
    <w:pPr>
      <w:tabs>
        <w:tab w:val="center" w:pos="5735"/>
        <w:tab w:val="center" w:pos="7906"/>
        <w:tab w:val="center" w:pos="10080"/>
      </w:tabs>
      <w:spacing w:line="200" w:lineRule="exact"/>
    </w:pPr>
    <w:rPr>
      <w:rFonts w:ascii="Univers LT Std 57 Cn" w:hAnsi="Univers LT Std 57 Cn"/>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1B30D8"/>
    <w:pPr>
      <w:tabs>
        <w:tab w:val="center" w:pos="5735"/>
        <w:tab w:val="center" w:pos="7906"/>
        <w:tab w:val="center" w:pos="10080"/>
      </w:tabs>
    </w:pPr>
    <w:rPr>
      <w:rFonts w:ascii="Univers LT Std 57 Cn" w:hAnsi="Univers LT Std 57 Cn"/>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30067D"/>
    <w:pPr>
      <w:jc w:val="both"/>
    </w:pPr>
    <w:rPr>
      <w:rFonts w:ascii="Univers LT Std 47 Cn Lt" w:hAnsi="Univers LT Std 47 Cn Lt"/>
      <w:sz w:val="19"/>
    </w:rPr>
  </w:style>
  <w:style w:type="paragraph" w:styleId="BalloonText">
    <w:name w:val="Balloon Text"/>
    <w:basedOn w:val="Normal"/>
    <w:link w:val="BalloonTextChar"/>
    <w:locked/>
    <w:rsid w:val="00352199"/>
    <w:rPr>
      <w:rFonts w:ascii="Tahoma" w:hAnsi="Tahoma" w:cs="Tahoma"/>
      <w:sz w:val="16"/>
      <w:szCs w:val="16"/>
    </w:rPr>
  </w:style>
  <w:style w:type="character" w:customStyle="1" w:styleId="BalloonTextChar">
    <w:name w:val="Balloon Text Char"/>
    <w:basedOn w:val="DefaultParagraphFont"/>
    <w:link w:val="BalloonText"/>
    <w:rsid w:val="00352199"/>
    <w:rPr>
      <w:rFonts w:ascii="Tahoma" w:hAnsi="Tahoma" w:cs="Tahoma"/>
      <w:sz w:val="16"/>
      <w:szCs w:val="16"/>
    </w:rPr>
  </w:style>
  <w:style w:type="character" w:styleId="UnresolvedMention">
    <w:name w:val="Unresolved Mention"/>
    <w:basedOn w:val="DefaultParagraphFont"/>
    <w:uiPriority w:val="99"/>
    <w:semiHidden/>
    <w:unhideWhenUsed/>
    <w:rsid w:val="00324E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smp.org/mer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smp.org/sc?id=3101"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action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C52C5-44B6-4B26-9970-451FD2DF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actionAgenda</Template>
  <TotalTime>0</TotalTime>
  <Pages>4</Pages>
  <Words>1317</Words>
  <Characters>7508</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creator>bob</dc:creator>
  <cp:lastModifiedBy>Michael Gaunt</cp:lastModifiedBy>
  <cp:revision>2</cp:revision>
  <cp:lastPrinted>2006-07-27T04:12:00Z</cp:lastPrinted>
  <dcterms:created xsi:type="dcterms:W3CDTF">2018-05-30T14:09:00Z</dcterms:created>
  <dcterms:modified xsi:type="dcterms:W3CDTF">2018-05-30T14:09:00Z</dcterms:modified>
</cp:coreProperties>
</file>