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231182944"/>
    <w:bookmarkStart w:id="1" w:name="_MON_1231183012"/>
    <w:bookmarkStart w:id="2" w:name="_MON_1231184836"/>
    <w:bookmarkStart w:id="3" w:name="_MON_1231184913"/>
    <w:bookmarkStart w:id="4" w:name="_MON_1231523733"/>
    <w:bookmarkStart w:id="5" w:name="_MON_1231523845"/>
    <w:bookmarkStart w:id="6" w:name="_MON_1231523852"/>
    <w:bookmarkStart w:id="7" w:name="_MON_1305047124"/>
    <w:bookmarkStart w:id="8" w:name="_MON_1400005751"/>
    <w:bookmarkStart w:id="9" w:name="_MON_1410287886"/>
    <w:bookmarkStart w:id="10" w:name="_MON_1410287903"/>
    <w:bookmarkStart w:id="11" w:name="_MON_1410287914"/>
    <w:bookmarkStart w:id="12" w:name="_MON_1410287919"/>
    <w:bookmarkStart w:id="13" w:name="_MON_1410287926"/>
    <w:bookmarkStart w:id="14" w:name="_MON_1410287999"/>
    <w:bookmarkStart w:id="15" w:name="_MON_1231182667"/>
    <w:bookmarkStart w:id="16" w:name="_MON_1231182695"/>
    <w:bookmarkStart w:id="17" w:name="_MON_123118270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231182722"/>
    <w:bookmarkEnd w:id="18"/>
    <w:p w14:paraId="3E5AADB5" w14:textId="77777777" w:rsidR="00A5481A" w:rsidRDefault="00662C82" w:rsidP="00E325CF">
      <w:pPr>
        <w:ind w:left="-360" w:right="-180"/>
      </w:pPr>
      <w:r w:rsidRPr="00757D59">
        <w:rPr>
          <w:sz w:val="18"/>
        </w:rPr>
        <w:object w:dxaOrig="14700" w:dyaOrig="1771" w14:anchorId="027B4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88.5pt" o:ole="">
            <v:imagedata r:id="rId7" o:title=""/>
          </v:shape>
          <o:OLEObject Type="Embed" ProgID="Word.Document.8" ShapeID="_x0000_i1025" DrawAspect="Content" ObjectID="_1557833490" r:id="rId8">
            <o:FieldCodes>\s</o:FieldCodes>
          </o:OLEObject>
        </w:object>
      </w:r>
    </w:p>
    <w:tbl>
      <w:tblPr>
        <w:tblW w:w="14688"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92"/>
        <w:gridCol w:w="3330"/>
        <w:gridCol w:w="3510"/>
        <w:gridCol w:w="2520"/>
        <w:gridCol w:w="3240"/>
        <w:gridCol w:w="1296"/>
      </w:tblGrid>
      <w:tr w:rsidR="00BB0667" w:rsidRPr="00C02132" w14:paraId="6CB2FF23" w14:textId="77777777" w:rsidTr="00E75F2F">
        <w:trPr>
          <w:tblHeader/>
          <w:jc w:val="center"/>
        </w:trPr>
        <w:tc>
          <w:tcPr>
            <w:tcW w:w="792" w:type="dxa"/>
            <w:tcBorders>
              <w:top w:val="single" w:sz="4" w:space="0" w:color="0D4D9E"/>
              <w:bottom w:val="single" w:sz="6" w:space="0" w:color="0D4D9E"/>
            </w:tcBorders>
            <w:shd w:val="clear" w:color="auto" w:fill="5D72B5"/>
          </w:tcPr>
          <w:p w14:paraId="37C6C601" w14:textId="77777777" w:rsidR="00BB0667" w:rsidRPr="000F0C09" w:rsidRDefault="00407D1A" w:rsidP="00DF45D1">
            <w:pPr>
              <w:pStyle w:val="StyleAC-table-hed85ptWhiteCentered"/>
              <w:rPr>
                <w:rFonts w:ascii="Univers LT Std 57 Cn" w:hAnsi="Univers LT Std 57 Cn"/>
                <w:b/>
                <w:sz w:val="15"/>
                <w:szCs w:val="15"/>
              </w:rPr>
            </w:pPr>
            <w:r w:rsidRPr="000F0C09">
              <w:rPr>
                <w:rFonts w:ascii="Univers LT Std 57 Cn" w:hAnsi="Univers LT Std 57 Cn"/>
                <w:b/>
                <w:sz w:val="15"/>
                <w:szCs w:val="15"/>
              </w:rPr>
              <w:t>Issue</w:t>
            </w:r>
          </w:p>
        </w:tc>
        <w:tc>
          <w:tcPr>
            <w:tcW w:w="3330" w:type="dxa"/>
            <w:tcBorders>
              <w:top w:val="single" w:sz="4" w:space="0" w:color="0D4D9E"/>
              <w:bottom w:val="single" w:sz="6" w:space="0" w:color="0D4D9E"/>
              <w:right w:val="single" w:sz="4" w:space="0" w:color="0D4D9E"/>
            </w:tcBorders>
            <w:shd w:val="clear" w:color="auto" w:fill="0D4D9E"/>
          </w:tcPr>
          <w:p w14:paraId="5FA6F89E" w14:textId="77777777" w:rsidR="00BB0667" w:rsidRPr="000F0C09" w:rsidRDefault="00BB0667" w:rsidP="00B36686">
            <w:pPr>
              <w:pStyle w:val="AC-table-hed"/>
              <w:tabs>
                <w:tab w:val="clear" w:pos="5735"/>
                <w:tab w:val="clear" w:pos="7906"/>
                <w:tab w:val="clear" w:pos="10080"/>
              </w:tabs>
              <w:jc w:val="center"/>
              <w:rPr>
                <w:rFonts w:ascii="Univers LT Std 57 Cn" w:hAnsi="Univers LT Std 57 Cn"/>
                <w:b/>
                <w:color w:val="FFFFFF"/>
                <w:sz w:val="16"/>
                <w:szCs w:val="16"/>
              </w:rPr>
            </w:pPr>
            <w:r w:rsidRPr="000F0C09">
              <w:rPr>
                <w:rFonts w:ascii="Univers LT Std 57 Cn" w:hAnsi="Univers LT Std 57 Cn"/>
                <w:b/>
                <w:color w:val="FFFFFF"/>
                <w:sz w:val="16"/>
                <w:szCs w:val="16"/>
              </w:rPr>
              <w:t xml:space="preserve">Problem </w:t>
            </w:r>
          </w:p>
        </w:tc>
        <w:tc>
          <w:tcPr>
            <w:tcW w:w="3510" w:type="dxa"/>
            <w:tcBorders>
              <w:top w:val="single" w:sz="4" w:space="0" w:color="0D4D9E"/>
              <w:left w:val="single" w:sz="4" w:space="0" w:color="0D4D9E"/>
              <w:bottom w:val="single" w:sz="6" w:space="0" w:color="0D4D9E"/>
            </w:tcBorders>
            <w:shd w:val="clear" w:color="auto" w:fill="5D72B5"/>
          </w:tcPr>
          <w:p w14:paraId="239CA097" w14:textId="77777777" w:rsidR="00BB0667" w:rsidRPr="000F0C09" w:rsidRDefault="00BB0667" w:rsidP="00B36686">
            <w:pPr>
              <w:pStyle w:val="AC-table-hed"/>
              <w:tabs>
                <w:tab w:val="clear" w:pos="5735"/>
                <w:tab w:val="clear" w:pos="7906"/>
                <w:tab w:val="clear" w:pos="10080"/>
              </w:tabs>
              <w:jc w:val="center"/>
              <w:rPr>
                <w:rFonts w:ascii="Univers LT Std 57 Cn" w:hAnsi="Univers LT Std 57 Cn"/>
                <w:b/>
                <w:color w:val="FFFFFF"/>
                <w:sz w:val="16"/>
                <w:szCs w:val="16"/>
              </w:rPr>
            </w:pPr>
            <w:r w:rsidRPr="000F0C09">
              <w:rPr>
                <w:rFonts w:ascii="Univers LT Std 57 Cn" w:hAnsi="Univers LT Std 57 Cn"/>
                <w:b/>
                <w:color w:val="FFFFFF"/>
                <w:sz w:val="16"/>
                <w:szCs w:val="16"/>
              </w:rPr>
              <w:t xml:space="preserve">Recommendation </w:t>
            </w:r>
          </w:p>
        </w:tc>
        <w:tc>
          <w:tcPr>
            <w:tcW w:w="2520" w:type="dxa"/>
            <w:tcBorders>
              <w:top w:val="single" w:sz="4" w:space="0" w:color="0D4D9E"/>
              <w:bottom w:val="single" w:sz="6" w:space="0" w:color="0D4D9E"/>
            </w:tcBorders>
            <w:shd w:val="clear" w:color="auto" w:fill="0D4D9E"/>
          </w:tcPr>
          <w:p w14:paraId="4AC97681" w14:textId="77777777" w:rsidR="00BB0667" w:rsidRPr="000F0C09" w:rsidRDefault="00BB0667" w:rsidP="00B36686">
            <w:pPr>
              <w:pStyle w:val="AC-table-hed"/>
              <w:tabs>
                <w:tab w:val="clear" w:pos="5735"/>
                <w:tab w:val="clear" w:pos="7906"/>
                <w:tab w:val="clear" w:pos="10080"/>
              </w:tabs>
              <w:jc w:val="center"/>
              <w:rPr>
                <w:rFonts w:ascii="Univers LT Std 57 Cn" w:hAnsi="Univers LT Std 57 Cn"/>
                <w:b/>
                <w:color w:val="FFFFFF"/>
                <w:sz w:val="16"/>
                <w:szCs w:val="16"/>
              </w:rPr>
            </w:pPr>
            <w:r w:rsidRPr="000F0C09">
              <w:rPr>
                <w:rFonts w:ascii="Univers LT Std 57 Cn" w:hAnsi="Univers LT Std 57 Cn"/>
                <w:b/>
                <w:color w:val="FFFFFF"/>
                <w:sz w:val="16"/>
                <w:szCs w:val="16"/>
              </w:rPr>
              <w:t>Organization Assessment</w:t>
            </w:r>
          </w:p>
        </w:tc>
        <w:tc>
          <w:tcPr>
            <w:tcW w:w="3240" w:type="dxa"/>
            <w:tcBorders>
              <w:top w:val="single" w:sz="4" w:space="0" w:color="0D4D9E"/>
              <w:bottom w:val="single" w:sz="6" w:space="0" w:color="0D4D9E"/>
            </w:tcBorders>
            <w:shd w:val="clear" w:color="auto" w:fill="5D72B5"/>
          </w:tcPr>
          <w:p w14:paraId="2DD40ECD" w14:textId="77777777" w:rsidR="00BB0667" w:rsidRPr="000F0C09" w:rsidRDefault="00BB0667" w:rsidP="00B36686">
            <w:pPr>
              <w:pStyle w:val="AC-table-hed"/>
              <w:tabs>
                <w:tab w:val="clear" w:pos="5735"/>
                <w:tab w:val="clear" w:pos="7906"/>
                <w:tab w:val="clear" w:pos="10080"/>
              </w:tabs>
              <w:jc w:val="center"/>
              <w:rPr>
                <w:rFonts w:ascii="Univers LT Std 57 Cn" w:hAnsi="Univers LT Std 57 Cn"/>
                <w:b/>
                <w:color w:val="FFFFFF"/>
                <w:sz w:val="16"/>
                <w:szCs w:val="16"/>
              </w:rPr>
            </w:pPr>
            <w:r w:rsidRPr="000F0C09">
              <w:rPr>
                <w:rFonts w:ascii="Univers LT Std 57 Cn" w:hAnsi="Univers LT Std 57 Cn"/>
                <w:b/>
                <w:color w:val="FFFFFF"/>
                <w:sz w:val="16"/>
                <w:szCs w:val="16"/>
              </w:rPr>
              <w:t>Action Required/</w:t>
            </w:r>
            <w:r w:rsidR="008219D3" w:rsidRPr="000F0C09">
              <w:rPr>
                <w:rFonts w:ascii="Univers LT Std 57 Cn" w:hAnsi="Univers LT Std 57 Cn"/>
                <w:b/>
                <w:color w:val="FFFFFF"/>
                <w:sz w:val="16"/>
                <w:szCs w:val="16"/>
              </w:rPr>
              <w:t xml:space="preserve"> </w:t>
            </w:r>
            <w:r w:rsidRPr="000F0C09">
              <w:rPr>
                <w:rFonts w:ascii="Univers LT Std 57 Cn" w:hAnsi="Univers LT Std 57 Cn"/>
                <w:b/>
                <w:color w:val="FFFFFF"/>
                <w:sz w:val="16"/>
                <w:szCs w:val="16"/>
              </w:rPr>
              <w:t>Assignment</w:t>
            </w:r>
          </w:p>
        </w:tc>
        <w:tc>
          <w:tcPr>
            <w:tcW w:w="1296" w:type="dxa"/>
            <w:tcBorders>
              <w:top w:val="single" w:sz="4" w:space="0" w:color="0D4D9E"/>
              <w:bottom w:val="single" w:sz="6" w:space="0" w:color="0D4D9E"/>
            </w:tcBorders>
            <w:shd w:val="clear" w:color="auto" w:fill="0D4D9E"/>
          </w:tcPr>
          <w:p w14:paraId="3B48A371" w14:textId="77777777" w:rsidR="00BB0667" w:rsidRPr="000F0C09" w:rsidRDefault="00BB0667" w:rsidP="00B36686">
            <w:pPr>
              <w:pStyle w:val="AC-table-hed"/>
              <w:tabs>
                <w:tab w:val="clear" w:pos="5735"/>
                <w:tab w:val="clear" w:pos="7906"/>
                <w:tab w:val="clear" w:pos="10080"/>
              </w:tabs>
              <w:jc w:val="center"/>
              <w:rPr>
                <w:rFonts w:ascii="Univers LT Std 57 Cn" w:hAnsi="Univers LT Std 57 Cn"/>
                <w:b/>
                <w:color w:val="FFFFFF"/>
                <w:sz w:val="16"/>
                <w:szCs w:val="16"/>
              </w:rPr>
            </w:pPr>
            <w:r w:rsidRPr="000F0C09">
              <w:rPr>
                <w:rFonts w:ascii="Univers LT Std 57 Cn" w:hAnsi="Univers LT Std 57 Cn"/>
                <w:b/>
                <w:color w:val="FFFFFF"/>
                <w:sz w:val="16"/>
                <w:szCs w:val="16"/>
              </w:rPr>
              <w:t>Date Completed</w:t>
            </w:r>
          </w:p>
        </w:tc>
      </w:tr>
      <w:tr w:rsidR="009224EA" w:rsidRPr="00473B6D" w14:paraId="65A6A7FB" w14:textId="77777777" w:rsidTr="00B91D3F">
        <w:trPr>
          <w:jc w:val="center"/>
        </w:trPr>
        <w:tc>
          <w:tcPr>
            <w:tcW w:w="14688" w:type="dxa"/>
            <w:gridSpan w:val="6"/>
            <w:tcBorders>
              <w:top w:val="single" w:sz="6" w:space="0" w:color="0D4D9E"/>
              <w:bottom w:val="single" w:sz="6" w:space="0" w:color="0D4D9E"/>
            </w:tcBorders>
            <w:shd w:val="clear" w:color="auto" w:fill="BBCEEB"/>
          </w:tcPr>
          <w:p w14:paraId="29F2E0CB" w14:textId="77777777" w:rsidR="009224EA" w:rsidRPr="00C01220" w:rsidRDefault="009224EA" w:rsidP="009224EA">
            <w:pPr>
              <w:pStyle w:val="Acutecare-new-agenda-hed"/>
              <w:tabs>
                <w:tab w:val="clear" w:pos="5735"/>
                <w:tab w:val="clear" w:pos="7906"/>
                <w:tab w:val="clear" w:pos="10080"/>
              </w:tabs>
            </w:pPr>
            <w:r w:rsidRPr="00C01220">
              <w:t xml:space="preserve">TRESIBA FLEXTOUCH (insulin </w:t>
            </w:r>
            <w:proofErr w:type="spellStart"/>
            <w:r w:rsidRPr="00C01220">
              <w:t>degludec</w:t>
            </w:r>
            <w:proofErr w:type="spellEnd"/>
            <w:r w:rsidRPr="00C01220">
              <w:t>) U-200 pen won’t allow dosing an odd number of insulin units</w:t>
            </w:r>
          </w:p>
        </w:tc>
      </w:tr>
      <w:tr w:rsidR="00685F62" w:rsidRPr="00C02132" w14:paraId="419E8192" w14:textId="77777777" w:rsidTr="00E75F2F">
        <w:trPr>
          <w:jc w:val="center"/>
        </w:trPr>
        <w:tc>
          <w:tcPr>
            <w:tcW w:w="792" w:type="dxa"/>
            <w:tcBorders>
              <w:top w:val="single" w:sz="6" w:space="0" w:color="0D4D9E"/>
              <w:bottom w:val="single" w:sz="6" w:space="0" w:color="0D4D9E"/>
            </w:tcBorders>
            <w:shd w:val="clear" w:color="auto" w:fill="F0EBD3"/>
          </w:tcPr>
          <w:p w14:paraId="45873907" w14:textId="77777777" w:rsidR="00685F62" w:rsidRPr="00532F05" w:rsidRDefault="00685F62" w:rsidP="005603E6">
            <w:pPr>
              <w:pStyle w:val="agenda-BODY"/>
            </w:pPr>
            <w:r w:rsidRPr="00532F05">
              <w:rPr>
                <w:rFonts w:eastAsia="Akzidenz Grotesk BE Cn"/>
              </w:rPr>
              <w:t>0</w:t>
            </w:r>
            <w:r w:rsidR="005603E6">
              <w:rPr>
                <w:rFonts w:eastAsia="Akzidenz Grotesk BE Cn"/>
              </w:rPr>
              <w:t>1/17</w:t>
            </w:r>
            <w:r>
              <w:rPr>
                <w:rFonts w:eastAsia="Akzidenz Grotesk BE Cn"/>
                <w:noProof/>
              </w:rPr>
              <w:drawing>
                <wp:inline distT="0" distB="0" distL="0" distR="0" wp14:anchorId="4E80B75C" wp14:editId="3B07289B">
                  <wp:extent cx="167005" cy="127000"/>
                  <wp:effectExtent l="0" t="0" r="4445" b="6350"/>
                  <wp:docPr id="16" name="Picture 16"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330" w:type="dxa"/>
            <w:tcBorders>
              <w:top w:val="single" w:sz="6" w:space="0" w:color="0D4D9E"/>
              <w:bottom w:val="single" w:sz="6" w:space="0" w:color="0D4D9E"/>
            </w:tcBorders>
            <w:shd w:val="clear" w:color="auto" w:fill="FFF3D6"/>
          </w:tcPr>
          <w:p w14:paraId="6FA38A25" w14:textId="77777777" w:rsidR="00685F62" w:rsidRPr="00D63B96" w:rsidRDefault="00685F62" w:rsidP="00D63B96">
            <w:pPr>
              <w:pStyle w:val="agenda-BODY"/>
            </w:pPr>
            <w:r w:rsidRPr="00D63B96">
              <w:t xml:space="preserve">A physician prescribed 25 units daily of </w:t>
            </w:r>
            <w:proofErr w:type="spellStart"/>
            <w:r w:rsidRPr="00D63B96">
              <w:t>Tresiba</w:t>
            </w:r>
            <w:proofErr w:type="spellEnd"/>
            <w:r w:rsidRPr="00D63B96">
              <w:t xml:space="preserve"> FlexTouch U-200. The pen only has dosing increments in even numbers, starting with 2 units and going up to 160. An elderly patient tried to dial 25 units by estimating the position between 24 units (marked on the pen) and a notch or score that represents 26 units. </w:t>
            </w:r>
            <w:proofErr w:type="gramStart"/>
            <w:r w:rsidRPr="00D63B96">
              <w:t>According to</w:t>
            </w:r>
            <w:proofErr w:type="gramEnd"/>
            <w:r w:rsidRPr="00D63B96">
              <w:t xml:space="preserve"> the manufacturer, the design of the pen will not allow insulin to be administered unless the pen is correctly set to a dose—24 or 26 units in this case.</w:t>
            </w:r>
          </w:p>
        </w:tc>
        <w:tc>
          <w:tcPr>
            <w:tcW w:w="3510" w:type="dxa"/>
            <w:tcBorders>
              <w:top w:val="single" w:sz="6" w:space="0" w:color="0D4D9E"/>
              <w:bottom w:val="single" w:sz="6" w:space="0" w:color="0D4D9E"/>
            </w:tcBorders>
            <w:shd w:val="clear" w:color="auto" w:fill="F0EBD3"/>
          </w:tcPr>
          <w:p w14:paraId="6FF7AE04" w14:textId="77777777" w:rsidR="00685F62" w:rsidRPr="00D63B96" w:rsidRDefault="00685F62" w:rsidP="00D63B96">
            <w:pPr>
              <w:pStyle w:val="agenda-BODY"/>
            </w:pPr>
            <w:r w:rsidRPr="00D63B96">
              <w:t xml:space="preserve">Healthcare professionals prescribing or dispensing pen devices need to be familiar with how they work. Educate healthcare professionals about the difference between U-100 pens and the U-200 </w:t>
            </w:r>
            <w:proofErr w:type="spellStart"/>
            <w:r w:rsidRPr="00D63B96">
              <w:t>Tresiba</w:t>
            </w:r>
            <w:proofErr w:type="spellEnd"/>
            <w:r w:rsidRPr="00D63B96">
              <w:t xml:space="preserve"> pen. Use training devices from manufacturers to educate staff and patients. Prescribers should consider providing a U-100 pen when smaller or odd numbered doses must be administered, reserving U-200 pens for patients requiring larger, even numbered doses.</w:t>
            </w:r>
          </w:p>
          <w:p w14:paraId="0BDBC3F8" w14:textId="77777777" w:rsidR="00D63B96" w:rsidRPr="00D63B96" w:rsidRDefault="00D63B96" w:rsidP="00D63B96">
            <w:pPr>
              <w:pStyle w:val="agenda-BODY"/>
            </w:pPr>
          </w:p>
        </w:tc>
        <w:tc>
          <w:tcPr>
            <w:tcW w:w="2520" w:type="dxa"/>
            <w:tcBorders>
              <w:top w:val="single" w:sz="6" w:space="0" w:color="0D4D9E"/>
              <w:bottom w:val="single" w:sz="6" w:space="0" w:color="0D4D9E"/>
            </w:tcBorders>
            <w:shd w:val="clear" w:color="auto" w:fill="FFFFFF"/>
          </w:tcPr>
          <w:p w14:paraId="08F9C5F5" w14:textId="77777777" w:rsidR="00685F62" w:rsidRPr="00C02132" w:rsidRDefault="00685F62" w:rsidP="00B36686">
            <w:pPr>
              <w:pStyle w:val="AC-table-body"/>
              <w:tabs>
                <w:tab w:val="clear" w:pos="5735"/>
                <w:tab w:val="clear" w:pos="7906"/>
                <w:tab w:val="clear" w:pos="10080"/>
              </w:tabs>
            </w:pPr>
          </w:p>
        </w:tc>
        <w:tc>
          <w:tcPr>
            <w:tcW w:w="3240" w:type="dxa"/>
            <w:tcBorders>
              <w:top w:val="single" w:sz="6" w:space="0" w:color="0D4D9E"/>
              <w:bottom w:val="single" w:sz="6" w:space="0" w:color="0D4D9E"/>
            </w:tcBorders>
            <w:shd w:val="clear" w:color="auto" w:fill="FFFFFF"/>
          </w:tcPr>
          <w:p w14:paraId="712BF8B4" w14:textId="77777777" w:rsidR="00685F62" w:rsidRPr="00C02132" w:rsidRDefault="00685F62" w:rsidP="00B36686">
            <w:pPr>
              <w:pStyle w:val="AC-table-body"/>
              <w:tabs>
                <w:tab w:val="clear" w:pos="5735"/>
                <w:tab w:val="clear" w:pos="7906"/>
                <w:tab w:val="clear" w:pos="10080"/>
              </w:tabs>
            </w:pPr>
          </w:p>
        </w:tc>
        <w:tc>
          <w:tcPr>
            <w:tcW w:w="1296" w:type="dxa"/>
            <w:tcBorders>
              <w:top w:val="single" w:sz="6" w:space="0" w:color="0D4D9E"/>
              <w:bottom w:val="single" w:sz="6" w:space="0" w:color="0D4D9E"/>
            </w:tcBorders>
            <w:shd w:val="clear" w:color="auto" w:fill="FFFFFF"/>
          </w:tcPr>
          <w:p w14:paraId="3EF11424" w14:textId="77777777" w:rsidR="00685F62" w:rsidRPr="00C02132" w:rsidRDefault="00685F62" w:rsidP="00B36686">
            <w:pPr>
              <w:pStyle w:val="AC-table-body"/>
              <w:tabs>
                <w:tab w:val="clear" w:pos="5735"/>
                <w:tab w:val="clear" w:pos="7906"/>
                <w:tab w:val="clear" w:pos="10080"/>
              </w:tabs>
            </w:pPr>
          </w:p>
        </w:tc>
      </w:tr>
      <w:tr w:rsidR="009224EA" w:rsidRPr="00C02132" w14:paraId="6552645A" w14:textId="77777777" w:rsidTr="00BB6696">
        <w:trPr>
          <w:jc w:val="center"/>
        </w:trPr>
        <w:tc>
          <w:tcPr>
            <w:tcW w:w="14688" w:type="dxa"/>
            <w:gridSpan w:val="6"/>
            <w:tcBorders>
              <w:top w:val="single" w:sz="6" w:space="0" w:color="0D4D9E"/>
              <w:bottom w:val="single" w:sz="6" w:space="0" w:color="0D4D9E"/>
            </w:tcBorders>
            <w:shd w:val="clear" w:color="auto" w:fill="BBCEEB"/>
          </w:tcPr>
          <w:p w14:paraId="78DD855E" w14:textId="77777777" w:rsidR="009224EA" w:rsidRPr="00AE2336" w:rsidRDefault="005603E6" w:rsidP="00481D01">
            <w:pPr>
              <w:pStyle w:val="Acutecare-new-agenda-hed"/>
              <w:tabs>
                <w:tab w:val="clear" w:pos="5735"/>
                <w:tab w:val="clear" w:pos="7906"/>
                <w:tab w:val="clear" w:pos="10080"/>
              </w:tabs>
            </w:pPr>
            <w:r w:rsidRPr="00C01220">
              <w:t>Concomitant use of ENTRESTO (sacubitril/valsartan) and angiotensin converting enzyme (ACE) inhibitors can lead to harm</w:t>
            </w:r>
          </w:p>
        </w:tc>
      </w:tr>
      <w:tr w:rsidR="005603E6" w:rsidRPr="00C02132" w14:paraId="72AB7362" w14:textId="77777777" w:rsidTr="00E75F2F">
        <w:trPr>
          <w:jc w:val="center"/>
        </w:trPr>
        <w:tc>
          <w:tcPr>
            <w:tcW w:w="792" w:type="dxa"/>
            <w:tcBorders>
              <w:top w:val="single" w:sz="6" w:space="0" w:color="0D4D9E"/>
              <w:bottom w:val="single" w:sz="6" w:space="0" w:color="0D4D9E"/>
            </w:tcBorders>
            <w:shd w:val="clear" w:color="auto" w:fill="F0EBD3"/>
          </w:tcPr>
          <w:p w14:paraId="24E0BE9E" w14:textId="77777777" w:rsidR="005603E6" w:rsidRPr="00C01220" w:rsidRDefault="005603E6" w:rsidP="00C15AA8">
            <w:pPr>
              <w:pStyle w:val="agenda-BODY"/>
            </w:pPr>
            <w:r w:rsidRPr="00C01220">
              <w:t>01/17</w:t>
            </w:r>
          </w:p>
        </w:tc>
        <w:tc>
          <w:tcPr>
            <w:tcW w:w="3330" w:type="dxa"/>
            <w:tcBorders>
              <w:top w:val="single" w:sz="6" w:space="0" w:color="0D4D9E"/>
              <w:bottom w:val="single" w:sz="6" w:space="0" w:color="0D4D9E"/>
            </w:tcBorders>
            <w:shd w:val="clear" w:color="auto" w:fill="FFF3D6"/>
          </w:tcPr>
          <w:p w14:paraId="5CFD78C8" w14:textId="77777777" w:rsidR="005603E6" w:rsidRPr="00D63B96" w:rsidRDefault="005603E6" w:rsidP="00D63B96">
            <w:pPr>
              <w:pStyle w:val="agenda-BODY"/>
            </w:pPr>
            <w:proofErr w:type="spellStart"/>
            <w:r w:rsidRPr="00D63B96">
              <w:t>Entresto</w:t>
            </w:r>
            <w:proofErr w:type="spellEnd"/>
            <w:r w:rsidRPr="00D63B96">
              <w:t xml:space="preserve"> should not be administered within 36 hours of switching to or from an ACE inhibitor. More than 50 cases of concomitant use have been reported to the US Food and Drug Administration (FDA), 11 of which required hospitalization due to angioedema, hyperkalemia, acute kidney injury, and hypotension. </w:t>
            </w:r>
          </w:p>
        </w:tc>
        <w:tc>
          <w:tcPr>
            <w:tcW w:w="3510" w:type="dxa"/>
            <w:tcBorders>
              <w:top w:val="single" w:sz="6" w:space="0" w:color="0D4D9E"/>
              <w:bottom w:val="single" w:sz="6" w:space="0" w:color="0D4D9E"/>
            </w:tcBorders>
            <w:shd w:val="clear" w:color="auto" w:fill="F0EBD3"/>
          </w:tcPr>
          <w:p w14:paraId="030F7224" w14:textId="77777777" w:rsidR="005603E6" w:rsidRPr="00D63B96" w:rsidRDefault="005603E6" w:rsidP="00D63B96">
            <w:pPr>
              <w:pStyle w:val="agenda-BODY"/>
            </w:pPr>
            <w:r w:rsidRPr="00D63B96">
              <w:t xml:space="preserve">Create order entry alerts to warn against the concomitant use of </w:t>
            </w:r>
            <w:proofErr w:type="spellStart"/>
            <w:r w:rsidRPr="00D63B96">
              <w:t>Entresto</w:t>
            </w:r>
            <w:proofErr w:type="spellEnd"/>
            <w:r w:rsidRPr="00D63B96">
              <w:t xml:space="preserve"> and ACE inhibitors. Conduct a thorough medication reconciliation to ensure that patients who were taking an ACE inhibitor or angiotensin receptor blocker (ARB) do not restart it when prescribed </w:t>
            </w:r>
            <w:proofErr w:type="spellStart"/>
            <w:r w:rsidRPr="00D63B96">
              <w:t>Entresto</w:t>
            </w:r>
            <w:proofErr w:type="spellEnd"/>
            <w:r w:rsidRPr="00D63B96">
              <w:t xml:space="preserve">. Educate patients about not taking </w:t>
            </w:r>
            <w:proofErr w:type="spellStart"/>
            <w:r w:rsidRPr="00D63B96">
              <w:t>Entresto</w:t>
            </w:r>
            <w:proofErr w:type="spellEnd"/>
            <w:r w:rsidRPr="00D63B96">
              <w:t xml:space="preserve"> and ACE inhibitors together.</w:t>
            </w:r>
          </w:p>
        </w:tc>
        <w:tc>
          <w:tcPr>
            <w:tcW w:w="2520" w:type="dxa"/>
            <w:tcBorders>
              <w:top w:val="single" w:sz="6" w:space="0" w:color="0D4D9E"/>
              <w:bottom w:val="single" w:sz="6" w:space="0" w:color="0D4D9E"/>
            </w:tcBorders>
            <w:shd w:val="clear" w:color="auto" w:fill="FFFFFF"/>
          </w:tcPr>
          <w:p w14:paraId="029A8E9F" w14:textId="77777777" w:rsidR="005603E6" w:rsidRPr="00C02132" w:rsidRDefault="005603E6" w:rsidP="00D63B96">
            <w:pPr>
              <w:pStyle w:val="agenda-BODY"/>
            </w:pPr>
          </w:p>
        </w:tc>
        <w:tc>
          <w:tcPr>
            <w:tcW w:w="3240" w:type="dxa"/>
            <w:tcBorders>
              <w:top w:val="single" w:sz="6" w:space="0" w:color="0D4D9E"/>
              <w:bottom w:val="single" w:sz="6" w:space="0" w:color="0D4D9E"/>
            </w:tcBorders>
            <w:shd w:val="clear" w:color="auto" w:fill="FFFFFF"/>
          </w:tcPr>
          <w:p w14:paraId="7E5E1E6F" w14:textId="77777777" w:rsidR="005603E6" w:rsidRPr="00C02132" w:rsidRDefault="005603E6" w:rsidP="00D63B96">
            <w:pPr>
              <w:pStyle w:val="agenda-BODY"/>
            </w:pPr>
          </w:p>
        </w:tc>
        <w:tc>
          <w:tcPr>
            <w:tcW w:w="1296" w:type="dxa"/>
            <w:tcBorders>
              <w:top w:val="single" w:sz="6" w:space="0" w:color="0D4D9E"/>
              <w:bottom w:val="single" w:sz="6" w:space="0" w:color="0D4D9E"/>
            </w:tcBorders>
            <w:shd w:val="clear" w:color="auto" w:fill="FFFFFF"/>
          </w:tcPr>
          <w:p w14:paraId="7BC293C2" w14:textId="77777777" w:rsidR="005603E6" w:rsidRPr="00C02132" w:rsidRDefault="005603E6" w:rsidP="00D63B96">
            <w:pPr>
              <w:pStyle w:val="agenda-BODY"/>
            </w:pPr>
          </w:p>
        </w:tc>
      </w:tr>
      <w:tr w:rsidR="009224EA" w:rsidRPr="00C02132" w14:paraId="7706AD9E" w14:textId="77777777" w:rsidTr="00BB6696">
        <w:trPr>
          <w:jc w:val="center"/>
        </w:trPr>
        <w:tc>
          <w:tcPr>
            <w:tcW w:w="14688" w:type="dxa"/>
            <w:gridSpan w:val="6"/>
            <w:tcBorders>
              <w:top w:val="single" w:sz="6" w:space="0" w:color="0D4D9E"/>
              <w:bottom w:val="single" w:sz="6" w:space="0" w:color="0D4D9E"/>
            </w:tcBorders>
            <w:shd w:val="clear" w:color="auto" w:fill="BBCEEB"/>
          </w:tcPr>
          <w:p w14:paraId="367664D2" w14:textId="77777777" w:rsidR="009224EA" w:rsidRPr="00AE2336" w:rsidRDefault="009C3C93" w:rsidP="0063613F">
            <w:pPr>
              <w:pStyle w:val="Acutecare-new-agenda-hed"/>
              <w:tabs>
                <w:tab w:val="clear" w:pos="5735"/>
                <w:tab w:val="clear" w:pos="7906"/>
                <w:tab w:val="clear" w:pos="10080"/>
              </w:tabs>
            </w:pPr>
            <w:r w:rsidRPr="00C01220">
              <w:t>FLEET SALINE ENEMA contains phosphate – not just “saline”</w:t>
            </w:r>
          </w:p>
        </w:tc>
      </w:tr>
      <w:tr w:rsidR="009C3C93" w:rsidRPr="00C02132" w14:paraId="20515B6C" w14:textId="77777777" w:rsidTr="00E75F2F">
        <w:trPr>
          <w:jc w:val="center"/>
        </w:trPr>
        <w:tc>
          <w:tcPr>
            <w:tcW w:w="792" w:type="dxa"/>
            <w:tcBorders>
              <w:top w:val="single" w:sz="6" w:space="0" w:color="0D4D9E"/>
              <w:bottom w:val="single" w:sz="6" w:space="0" w:color="0D4D9E"/>
            </w:tcBorders>
            <w:shd w:val="clear" w:color="auto" w:fill="F0EBD3"/>
          </w:tcPr>
          <w:p w14:paraId="563F84BA" w14:textId="77777777" w:rsidR="009C3C93" w:rsidRPr="00C01220" w:rsidRDefault="009C3C93" w:rsidP="00C15AA8">
            <w:pPr>
              <w:pStyle w:val="Acutecare-new-agenda-hed"/>
              <w:tabs>
                <w:tab w:val="clear" w:pos="5735"/>
                <w:tab w:val="clear" w:pos="7906"/>
                <w:tab w:val="clear" w:pos="10080"/>
              </w:tabs>
              <w:jc w:val="left"/>
              <w:rPr>
                <w:rFonts w:ascii="Univers LT Std 57 Cn" w:eastAsia="Univers LT Std 57 Cn" w:hAnsi="Univers LT Std 57 Cn" w:cs="Univers LT Std 57 Cn"/>
                <w:w w:val="110"/>
              </w:rPr>
            </w:pPr>
            <w:r w:rsidRPr="00C01220">
              <w:rPr>
                <w:rFonts w:ascii="Univers LT Std 47 Cn Lt" w:eastAsia="Univers LT Std 47 Cn Lt" w:hAnsi="Univers LT Std 47 Cn Lt" w:cs="Univers LT Std 47 Cn Lt"/>
                <w:b w:val="0"/>
                <w:w w:val="110"/>
              </w:rPr>
              <w:t>04/17</w:t>
            </w:r>
          </w:p>
        </w:tc>
        <w:tc>
          <w:tcPr>
            <w:tcW w:w="3330" w:type="dxa"/>
            <w:tcBorders>
              <w:top w:val="single" w:sz="6" w:space="0" w:color="0D4D9E"/>
              <w:bottom w:val="single" w:sz="6" w:space="0" w:color="0D4D9E"/>
            </w:tcBorders>
            <w:shd w:val="clear" w:color="auto" w:fill="FFF3D6"/>
          </w:tcPr>
          <w:p w14:paraId="5DD3B700" w14:textId="77777777" w:rsidR="009C3C93" w:rsidRPr="00D63B96" w:rsidRDefault="009C3C93" w:rsidP="00D63B96">
            <w:pPr>
              <w:pStyle w:val="agenda-BODY"/>
              <w:rPr>
                <w:rFonts w:eastAsia="Univers LT Std 47 Cn Lt"/>
              </w:rPr>
            </w:pPr>
            <w:r w:rsidRPr="00D63B96">
              <w:rPr>
                <w:rFonts w:eastAsia="Univers LT Std 47 Cn Lt"/>
              </w:rPr>
              <w:t>Fleet Saline Enema contains sodium phosphate monohydrate 19 g and dibasic sodium phosphate 7 g. Because the label states “saline,” the phosphate content may be overlooked. Elderly patients with renal insufficiency and those using more than one enema per 24 hours are more at risk for phosphate toxicity.</w:t>
            </w:r>
          </w:p>
          <w:p w14:paraId="1E205644" w14:textId="77777777" w:rsidR="00E75F2F" w:rsidRPr="00D63B96" w:rsidRDefault="00E75F2F" w:rsidP="00D63B96">
            <w:pPr>
              <w:pStyle w:val="agenda-BODY"/>
              <w:rPr>
                <w:rFonts w:eastAsia="Univers LT Std 47 Cn Lt"/>
              </w:rPr>
            </w:pPr>
          </w:p>
        </w:tc>
        <w:tc>
          <w:tcPr>
            <w:tcW w:w="3510" w:type="dxa"/>
            <w:tcBorders>
              <w:top w:val="single" w:sz="6" w:space="0" w:color="0D4D9E"/>
              <w:bottom w:val="single" w:sz="6" w:space="0" w:color="0D4D9E"/>
            </w:tcBorders>
            <w:shd w:val="clear" w:color="auto" w:fill="F0EBD3"/>
          </w:tcPr>
          <w:p w14:paraId="599A2B52" w14:textId="77777777" w:rsidR="009C3C93" w:rsidRPr="00D63B96" w:rsidRDefault="009C3C93" w:rsidP="00D63B96">
            <w:pPr>
              <w:pStyle w:val="agenda-BODY"/>
              <w:rPr>
                <w:rFonts w:eastAsia="Univers LT Std 47 Cn Lt"/>
              </w:rPr>
            </w:pPr>
            <w:r w:rsidRPr="00D63B96">
              <w:rPr>
                <w:rFonts w:eastAsia="Univers LT Std 47 Cn Lt"/>
              </w:rPr>
              <w:t xml:space="preserve">Consider storing these products behind the pharmacy counter or posting signs near these products directing patients to consult with a pharmacist or doctor before purchasing. Warn patients about the need to carefully follow label directions and to not use more than one enema in 24 hours. </w:t>
            </w:r>
          </w:p>
        </w:tc>
        <w:tc>
          <w:tcPr>
            <w:tcW w:w="2520" w:type="dxa"/>
            <w:tcBorders>
              <w:top w:val="single" w:sz="6" w:space="0" w:color="0D4D9E"/>
              <w:bottom w:val="single" w:sz="6" w:space="0" w:color="0D4D9E"/>
            </w:tcBorders>
            <w:shd w:val="clear" w:color="auto" w:fill="FFFFFF"/>
          </w:tcPr>
          <w:p w14:paraId="0A7CC09C" w14:textId="77777777" w:rsidR="009C3C93" w:rsidRPr="00C02132" w:rsidRDefault="009C3C93" w:rsidP="00D63B96">
            <w:pPr>
              <w:pStyle w:val="agenda-BODY"/>
            </w:pPr>
          </w:p>
        </w:tc>
        <w:tc>
          <w:tcPr>
            <w:tcW w:w="3240" w:type="dxa"/>
            <w:tcBorders>
              <w:top w:val="single" w:sz="6" w:space="0" w:color="0D4D9E"/>
              <w:bottom w:val="single" w:sz="6" w:space="0" w:color="0D4D9E"/>
            </w:tcBorders>
            <w:shd w:val="clear" w:color="auto" w:fill="FFFFFF"/>
          </w:tcPr>
          <w:p w14:paraId="6EF5CFA6" w14:textId="77777777" w:rsidR="009C3C93" w:rsidRPr="00C02132" w:rsidRDefault="009C3C93" w:rsidP="00D63B96">
            <w:pPr>
              <w:pStyle w:val="agenda-BODY"/>
            </w:pPr>
          </w:p>
        </w:tc>
        <w:tc>
          <w:tcPr>
            <w:tcW w:w="1296" w:type="dxa"/>
            <w:tcBorders>
              <w:top w:val="single" w:sz="6" w:space="0" w:color="0D4D9E"/>
              <w:bottom w:val="single" w:sz="6" w:space="0" w:color="0D4D9E"/>
            </w:tcBorders>
            <w:shd w:val="clear" w:color="auto" w:fill="FFFFFF"/>
          </w:tcPr>
          <w:p w14:paraId="672C0F3C" w14:textId="77777777" w:rsidR="009C3C93" w:rsidRPr="00C02132" w:rsidRDefault="009C3C93" w:rsidP="00D63B96">
            <w:pPr>
              <w:pStyle w:val="agenda-BODY"/>
            </w:pPr>
          </w:p>
        </w:tc>
      </w:tr>
      <w:tr w:rsidR="009224EA" w:rsidRPr="00C02132" w14:paraId="15FC255E" w14:textId="77777777" w:rsidTr="00BB6696">
        <w:trPr>
          <w:jc w:val="center"/>
        </w:trPr>
        <w:tc>
          <w:tcPr>
            <w:tcW w:w="14688" w:type="dxa"/>
            <w:gridSpan w:val="6"/>
            <w:tcBorders>
              <w:top w:val="single" w:sz="6" w:space="0" w:color="0D4D9E"/>
              <w:bottom w:val="single" w:sz="6" w:space="0" w:color="0D4D9E"/>
            </w:tcBorders>
            <w:shd w:val="clear" w:color="auto" w:fill="BBCEEB"/>
          </w:tcPr>
          <w:p w14:paraId="6C2D03EA" w14:textId="77777777" w:rsidR="009224EA" w:rsidRPr="00AE2336" w:rsidRDefault="00B90BB3" w:rsidP="0063613F">
            <w:pPr>
              <w:pStyle w:val="Acutecare-new-agenda-hed"/>
              <w:tabs>
                <w:tab w:val="clear" w:pos="5735"/>
                <w:tab w:val="clear" w:pos="7906"/>
                <w:tab w:val="clear" w:pos="10080"/>
              </w:tabs>
            </w:pPr>
            <w:r w:rsidRPr="00C01220">
              <w:t>Using information from external errors to signal a “clear and present danger”</w:t>
            </w:r>
          </w:p>
        </w:tc>
      </w:tr>
      <w:tr w:rsidR="00B90BB3" w:rsidRPr="00C02132" w14:paraId="3C3A065C" w14:textId="77777777" w:rsidTr="00E75F2F">
        <w:trPr>
          <w:jc w:val="center"/>
        </w:trPr>
        <w:tc>
          <w:tcPr>
            <w:tcW w:w="792" w:type="dxa"/>
            <w:tcBorders>
              <w:top w:val="single" w:sz="6" w:space="0" w:color="0D4D9E"/>
              <w:bottom w:val="single" w:sz="6" w:space="0" w:color="0D4D9E"/>
            </w:tcBorders>
            <w:shd w:val="clear" w:color="auto" w:fill="F0EBD3"/>
          </w:tcPr>
          <w:p w14:paraId="05323648" w14:textId="77777777" w:rsidR="00B90BB3" w:rsidRPr="00C01220" w:rsidRDefault="00B90BB3" w:rsidP="00C15AA8">
            <w:pPr>
              <w:pStyle w:val="agenda-BODY"/>
            </w:pPr>
            <w:r w:rsidRPr="00C01220">
              <w:lastRenderedPageBreak/>
              <w:t>03/17</w:t>
            </w:r>
          </w:p>
        </w:tc>
        <w:tc>
          <w:tcPr>
            <w:tcW w:w="3330" w:type="dxa"/>
            <w:tcBorders>
              <w:top w:val="single" w:sz="6" w:space="0" w:color="0D4D9E"/>
              <w:bottom w:val="single" w:sz="6" w:space="0" w:color="0D4D9E"/>
            </w:tcBorders>
            <w:shd w:val="clear" w:color="auto" w:fill="FFF3D6"/>
          </w:tcPr>
          <w:p w14:paraId="7259254C" w14:textId="77777777" w:rsidR="00B90BB3" w:rsidRPr="00D63B96" w:rsidRDefault="00B90BB3" w:rsidP="00D63B96">
            <w:pPr>
              <w:pStyle w:val="agenda-BODY"/>
            </w:pPr>
            <w:r w:rsidRPr="00D63B96">
              <w:t>Despite repeated descriptions of harmful and fatal errors in publications, many organizations fail to use this information to decrease the risk of similar errors. Attribution biases that cloud the way we judge the behavior of others when errors happen often thwart our ability to learn from their mistakes. Unfortunately, recommended actions go unheeded by those who feel they don’t apply to them.</w:t>
            </w:r>
          </w:p>
        </w:tc>
        <w:tc>
          <w:tcPr>
            <w:tcW w:w="3510" w:type="dxa"/>
            <w:tcBorders>
              <w:top w:val="single" w:sz="6" w:space="0" w:color="0D4D9E"/>
              <w:bottom w:val="single" w:sz="6" w:space="0" w:color="0D4D9E"/>
            </w:tcBorders>
            <w:shd w:val="clear" w:color="auto" w:fill="F0EBD3"/>
          </w:tcPr>
          <w:p w14:paraId="60F8B6D7" w14:textId="77777777" w:rsidR="00B90BB3" w:rsidRPr="00D63B96" w:rsidRDefault="00B90BB3" w:rsidP="00D63B96">
            <w:pPr>
              <w:pStyle w:val="agenda-BODY"/>
            </w:pPr>
            <w:r w:rsidRPr="00D63B96">
              <w:t>Establish a systematic way to identify and review information about external errors and assess the organization’s vulnerability to similar errors. Identify reliable sources of information about external errors, such as ISMP newsletters, peer-reviewed journals, and alerts from the US Food and Drug Administration (FDA). Establish group (practice site level, district level, corporate level) responsibility for reviewing the external errors or events, with standing items on meeting and committee agendas.</w:t>
            </w:r>
          </w:p>
          <w:p w14:paraId="408B350A" w14:textId="77777777" w:rsidR="00BE71DF" w:rsidRPr="00D63B96" w:rsidRDefault="00BE71DF" w:rsidP="00D63B96">
            <w:pPr>
              <w:pStyle w:val="agenda-BODY"/>
            </w:pPr>
          </w:p>
        </w:tc>
        <w:tc>
          <w:tcPr>
            <w:tcW w:w="2520" w:type="dxa"/>
            <w:tcBorders>
              <w:top w:val="single" w:sz="6" w:space="0" w:color="0D4D9E"/>
              <w:bottom w:val="single" w:sz="6" w:space="0" w:color="0D4D9E"/>
            </w:tcBorders>
            <w:shd w:val="clear" w:color="auto" w:fill="FFFFFF"/>
          </w:tcPr>
          <w:p w14:paraId="377E9FCB" w14:textId="77777777" w:rsidR="00B90BB3" w:rsidRPr="00C02132" w:rsidRDefault="00B90BB3" w:rsidP="00D63B96">
            <w:pPr>
              <w:pStyle w:val="agenda-BODY"/>
            </w:pPr>
          </w:p>
        </w:tc>
        <w:tc>
          <w:tcPr>
            <w:tcW w:w="3240" w:type="dxa"/>
            <w:tcBorders>
              <w:top w:val="single" w:sz="6" w:space="0" w:color="0D4D9E"/>
              <w:bottom w:val="single" w:sz="6" w:space="0" w:color="0D4D9E"/>
            </w:tcBorders>
            <w:shd w:val="clear" w:color="auto" w:fill="FFFFFF"/>
          </w:tcPr>
          <w:p w14:paraId="0FC4FC73" w14:textId="77777777" w:rsidR="00B90BB3" w:rsidRPr="00C02132" w:rsidRDefault="00B90BB3" w:rsidP="00D63B96">
            <w:pPr>
              <w:pStyle w:val="agenda-BODY"/>
            </w:pPr>
          </w:p>
        </w:tc>
        <w:tc>
          <w:tcPr>
            <w:tcW w:w="1296" w:type="dxa"/>
            <w:tcBorders>
              <w:top w:val="single" w:sz="6" w:space="0" w:color="0D4D9E"/>
              <w:bottom w:val="single" w:sz="6" w:space="0" w:color="0D4D9E"/>
            </w:tcBorders>
            <w:shd w:val="clear" w:color="auto" w:fill="FFFFFF"/>
          </w:tcPr>
          <w:p w14:paraId="1315891E" w14:textId="77777777" w:rsidR="00B90BB3" w:rsidRPr="00C02132" w:rsidRDefault="00B90BB3" w:rsidP="00D63B96">
            <w:pPr>
              <w:pStyle w:val="agenda-BODY"/>
            </w:pPr>
          </w:p>
        </w:tc>
      </w:tr>
      <w:tr w:rsidR="009224EA" w:rsidRPr="00C02132" w14:paraId="029C6163" w14:textId="77777777" w:rsidTr="00BB6696">
        <w:trPr>
          <w:jc w:val="center"/>
        </w:trPr>
        <w:tc>
          <w:tcPr>
            <w:tcW w:w="14688" w:type="dxa"/>
            <w:gridSpan w:val="6"/>
            <w:tcBorders>
              <w:top w:val="single" w:sz="6" w:space="0" w:color="0D4D9E"/>
              <w:bottom w:val="single" w:sz="6" w:space="0" w:color="0D4D9E"/>
            </w:tcBorders>
            <w:shd w:val="clear" w:color="auto" w:fill="BBCEEB"/>
          </w:tcPr>
          <w:p w14:paraId="1912D5AF" w14:textId="77777777" w:rsidR="009224EA" w:rsidRPr="00AE2336" w:rsidRDefault="00847BF8" w:rsidP="002C1E71">
            <w:pPr>
              <w:pStyle w:val="Acutecare-new-agenda-hed"/>
            </w:pPr>
            <w:r w:rsidRPr="00C01220">
              <w:t>Vaccine abbreviations and acronyms lead to errors</w:t>
            </w:r>
          </w:p>
        </w:tc>
      </w:tr>
      <w:tr w:rsidR="00847BF8" w:rsidRPr="00C02132" w14:paraId="09F9A6B9" w14:textId="77777777" w:rsidTr="00E75F2F">
        <w:trPr>
          <w:jc w:val="center"/>
        </w:trPr>
        <w:tc>
          <w:tcPr>
            <w:tcW w:w="792" w:type="dxa"/>
            <w:tcBorders>
              <w:top w:val="single" w:sz="6" w:space="0" w:color="0D4D9E"/>
              <w:bottom w:val="single" w:sz="6" w:space="0" w:color="0D4D9E"/>
            </w:tcBorders>
            <w:shd w:val="clear" w:color="auto" w:fill="F0EBD3"/>
          </w:tcPr>
          <w:p w14:paraId="4450B907" w14:textId="77777777" w:rsidR="00847BF8" w:rsidRPr="00C01220" w:rsidRDefault="00847BF8" w:rsidP="00C15AA8">
            <w:pPr>
              <w:pStyle w:val="agenda-BODY"/>
            </w:pPr>
            <w:r w:rsidRPr="00C01220">
              <w:t>02/17</w:t>
            </w:r>
          </w:p>
        </w:tc>
        <w:tc>
          <w:tcPr>
            <w:tcW w:w="3330" w:type="dxa"/>
            <w:tcBorders>
              <w:top w:val="single" w:sz="6" w:space="0" w:color="0D4D9E"/>
              <w:bottom w:val="single" w:sz="6" w:space="0" w:color="0D4D9E"/>
            </w:tcBorders>
            <w:shd w:val="clear" w:color="auto" w:fill="FFF3D6"/>
          </w:tcPr>
          <w:p w14:paraId="67D725DF" w14:textId="77777777" w:rsidR="00BE71DF" w:rsidRPr="00D63B96" w:rsidRDefault="00847BF8" w:rsidP="00D63B96">
            <w:pPr>
              <w:pStyle w:val="agenda-BODY"/>
            </w:pPr>
            <w:r w:rsidRPr="00D63B96">
              <w:t>Long nonproprietary vaccine names have spurred the use of abbreviations. The Centers for Disease Control and Prevention (CDC) provides a list of standard abbreviations, but nonstandard abbreviations are used often, and some standard abbreviations are very similar, sharing a main root to identify the target disease. Mix-ups have been reported, the latest involving Hib (</w:t>
            </w:r>
            <w:proofErr w:type="spellStart"/>
            <w:r w:rsidRPr="00D63B96">
              <w:rPr>
                <w:i/>
              </w:rPr>
              <w:t>Haemophilus</w:t>
            </w:r>
            <w:proofErr w:type="spellEnd"/>
            <w:r w:rsidRPr="00D63B96">
              <w:rPr>
                <w:i/>
              </w:rPr>
              <w:t xml:space="preserve"> </w:t>
            </w:r>
            <w:proofErr w:type="spellStart"/>
            <w:r w:rsidRPr="00D63B96">
              <w:rPr>
                <w:i/>
              </w:rPr>
              <w:t>influenzae</w:t>
            </w:r>
            <w:proofErr w:type="spellEnd"/>
            <w:r w:rsidRPr="00D63B96">
              <w:t xml:space="preserve"> type b conjugate vaccine) and HPV (correct abbreviation is 9vHPV for human papillomavirus 9-valent vaccine, recombinant).</w:t>
            </w:r>
          </w:p>
          <w:p w14:paraId="43D4D52C" w14:textId="77777777" w:rsidR="00E75F2F" w:rsidRPr="00D63B96" w:rsidRDefault="00E75F2F" w:rsidP="00D63B96">
            <w:pPr>
              <w:pStyle w:val="agenda-BODY"/>
            </w:pPr>
          </w:p>
        </w:tc>
        <w:tc>
          <w:tcPr>
            <w:tcW w:w="3510" w:type="dxa"/>
            <w:tcBorders>
              <w:top w:val="single" w:sz="6" w:space="0" w:color="0D4D9E"/>
              <w:bottom w:val="single" w:sz="6" w:space="0" w:color="0D4D9E"/>
            </w:tcBorders>
            <w:shd w:val="clear" w:color="auto" w:fill="F0EBD3"/>
          </w:tcPr>
          <w:p w14:paraId="5702C7CF" w14:textId="77777777" w:rsidR="00847BF8" w:rsidRPr="00D63B96" w:rsidRDefault="00847BF8" w:rsidP="00D63B96">
            <w:pPr>
              <w:pStyle w:val="agenda-BODY"/>
            </w:pPr>
            <w:r w:rsidRPr="00D63B96">
              <w:t>If vaccine abbreviations are permitted, allow only current CDC-approved abbreviations to be used. Order sets or protocols should include the vaccine’s brand name (if applicable) and full nonproprietary name. Review these order sets at least annually and update them as needed. If CDC-approved vaccine abbreviations are used in electronic formats, configure the display to allow viewing of the full nonproprietary name when hovering over the vaccine abbreviation. List full vaccine names on patient vaccination records and provide patients with a copy.</w:t>
            </w:r>
          </w:p>
        </w:tc>
        <w:tc>
          <w:tcPr>
            <w:tcW w:w="2520" w:type="dxa"/>
            <w:tcBorders>
              <w:top w:val="single" w:sz="6" w:space="0" w:color="0D4D9E"/>
              <w:bottom w:val="single" w:sz="6" w:space="0" w:color="0D4D9E"/>
            </w:tcBorders>
            <w:shd w:val="clear" w:color="auto" w:fill="FFFFFF"/>
          </w:tcPr>
          <w:p w14:paraId="20B82D56" w14:textId="77777777" w:rsidR="00847BF8" w:rsidRPr="00C02132" w:rsidRDefault="00847BF8" w:rsidP="00D63B96">
            <w:pPr>
              <w:pStyle w:val="agenda-BODY"/>
            </w:pPr>
          </w:p>
        </w:tc>
        <w:tc>
          <w:tcPr>
            <w:tcW w:w="3240" w:type="dxa"/>
            <w:tcBorders>
              <w:top w:val="single" w:sz="6" w:space="0" w:color="0D4D9E"/>
              <w:bottom w:val="single" w:sz="6" w:space="0" w:color="0D4D9E"/>
            </w:tcBorders>
            <w:shd w:val="clear" w:color="auto" w:fill="FFFFFF"/>
          </w:tcPr>
          <w:p w14:paraId="54B00D9D" w14:textId="77777777" w:rsidR="00847BF8" w:rsidRPr="00C02132" w:rsidRDefault="00847BF8" w:rsidP="00D63B96">
            <w:pPr>
              <w:pStyle w:val="agenda-BODY"/>
            </w:pPr>
          </w:p>
        </w:tc>
        <w:tc>
          <w:tcPr>
            <w:tcW w:w="1296" w:type="dxa"/>
            <w:tcBorders>
              <w:top w:val="single" w:sz="6" w:space="0" w:color="0D4D9E"/>
              <w:bottom w:val="single" w:sz="6" w:space="0" w:color="0D4D9E"/>
            </w:tcBorders>
            <w:shd w:val="clear" w:color="auto" w:fill="FFFFFF"/>
          </w:tcPr>
          <w:p w14:paraId="010723EB" w14:textId="77777777" w:rsidR="00847BF8" w:rsidRPr="00C02132" w:rsidRDefault="00847BF8" w:rsidP="00D63B96">
            <w:pPr>
              <w:pStyle w:val="agenda-BODY"/>
            </w:pPr>
          </w:p>
        </w:tc>
      </w:tr>
      <w:tr w:rsidR="009224EA" w:rsidRPr="00C02132" w14:paraId="7519C3A5" w14:textId="77777777" w:rsidTr="00BB6696">
        <w:trPr>
          <w:jc w:val="center"/>
        </w:trPr>
        <w:tc>
          <w:tcPr>
            <w:tcW w:w="14688" w:type="dxa"/>
            <w:gridSpan w:val="6"/>
            <w:tcBorders>
              <w:top w:val="single" w:sz="6" w:space="0" w:color="0D4D9E"/>
              <w:bottom w:val="single" w:sz="6" w:space="0" w:color="0D4D9E"/>
            </w:tcBorders>
            <w:shd w:val="clear" w:color="auto" w:fill="BBCEEB"/>
          </w:tcPr>
          <w:p w14:paraId="497DAB19" w14:textId="77777777" w:rsidR="009224EA" w:rsidRPr="00B7742B" w:rsidRDefault="0043356E" w:rsidP="002C1E71">
            <w:pPr>
              <w:pStyle w:val="Acutecare-new-agenda-hed"/>
            </w:pPr>
            <w:r w:rsidRPr="00C01220">
              <w:t>Using open-ended questions is critical</w:t>
            </w:r>
          </w:p>
        </w:tc>
      </w:tr>
      <w:tr w:rsidR="0043356E" w:rsidRPr="00C02132" w14:paraId="1C997E6C" w14:textId="77777777" w:rsidTr="00E75F2F">
        <w:trPr>
          <w:jc w:val="center"/>
        </w:trPr>
        <w:tc>
          <w:tcPr>
            <w:tcW w:w="792" w:type="dxa"/>
            <w:tcBorders>
              <w:top w:val="single" w:sz="6" w:space="0" w:color="0D4D9E"/>
              <w:bottom w:val="single" w:sz="6" w:space="0" w:color="0D4D9E"/>
            </w:tcBorders>
            <w:shd w:val="clear" w:color="auto" w:fill="F0EBD3"/>
          </w:tcPr>
          <w:p w14:paraId="78738620" w14:textId="77777777" w:rsidR="0043356E" w:rsidRPr="00C01220" w:rsidRDefault="0043356E" w:rsidP="00C15AA8">
            <w:pPr>
              <w:pStyle w:val="agenda-BODY"/>
            </w:pPr>
            <w:r w:rsidRPr="00C01220">
              <w:t>01/17</w:t>
            </w:r>
          </w:p>
        </w:tc>
        <w:tc>
          <w:tcPr>
            <w:tcW w:w="3330" w:type="dxa"/>
            <w:tcBorders>
              <w:top w:val="single" w:sz="6" w:space="0" w:color="0D4D9E"/>
              <w:bottom w:val="single" w:sz="6" w:space="0" w:color="0D4D9E"/>
            </w:tcBorders>
            <w:shd w:val="clear" w:color="auto" w:fill="FFF3D6"/>
          </w:tcPr>
          <w:p w14:paraId="02ED7D21" w14:textId="77777777" w:rsidR="0043356E" w:rsidRPr="00D63B96" w:rsidRDefault="0043356E" w:rsidP="00D63B96">
            <w:pPr>
              <w:pStyle w:val="agenda-BODY"/>
            </w:pPr>
            <w:r w:rsidRPr="00D63B96">
              <w:t xml:space="preserve">When a pharmacy clerk called out that a prescription for a child was ready for pick up, an elderly patient approached the counter. The clerk was uncertain if this was intended for her so she asked the patient “Are you here to pick up for [the child’s name]?” The woman answered “Yes” and left with the wrong medication. The error was discovered before the </w:t>
            </w:r>
            <w:bookmarkStart w:id="19" w:name="_GoBack"/>
            <w:bookmarkEnd w:id="19"/>
            <w:r w:rsidRPr="00D63B96">
              <w:t>woman ingested any tablets.</w:t>
            </w:r>
          </w:p>
          <w:p w14:paraId="6BE60612" w14:textId="77777777" w:rsidR="00D63B96" w:rsidRPr="00D63B96" w:rsidRDefault="00D63B96" w:rsidP="00D63B96">
            <w:pPr>
              <w:pStyle w:val="agenda-BODY"/>
            </w:pPr>
          </w:p>
          <w:p w14:paraId="7283CB63" w14:textId="77777777" w:rsidR="00CC6B2C" w:rsidRPr="00D63B96" w:rsidRDefault="00CC6B2C" w:rsidP="00D63B96">
            <w:pPr>
              <w:pStyle w:val="agenda-BODY"/>
            </w:pPr>
          </w:p>
        </w:tc>
        <w:tc>
          <w:tcPr>
            <w:tcW w:w="3510" w:type="dxa"/>
            <w:tcBorders>
              <w:top w:val="single" w:sz="6" w:space="0" w:color="0D4D9E"/>
              <w:bottom w:val="single" w:sz="6" w:space="0" w:color="0D4D9E"/>
            </w:tcBorders>
            <w:shd w:val="clear" w:color="auto" w:fill="F0EBD3"/>
          </w:tcPr>
          <w:p w14:paraId="451E86A2" w14:textId="77777777" w:rsidR="0043356E" w:rsidRPr="00D63B96" w:rsidRDefault="0043356E" w:rsidP="00D63B96">
            <w:pPr>
              <w:pStyle w:val="agenda-BODY"/>
            </w:pPr>
            <w:r w:rsidRPr="00D63B96">
              <w:t xml:space="preserve">Avoid using closed-ended questions to verify a patient’s identity and assess their understanding of their drug regimen. Ask patients to state their name and date of birth </w:t>
            </w:r>
            <w:proofErr w:type="gramStart"/>
            <w:r w:rsidRPr="00D63B96">
              <w:t>in order to</w:t>
            </w:r>
            <w:proofErr w:type="gramEnd"/>
            <w:r w:rsidRPr="00D63B96">
              <w:t xml:space="preserve"> confirm their identity. Open the bag at the point-of-sale and review the medication and prescription label with the patient before they leave.</w:t>
            </w:r>
          </w:p>
        </w:tc>
        <w:tc>
          <w:tcPr>
            <w:tcW w:w="2520" w:type="dxa"/>
            <w:tcBorders>
              <w:top w:val="single" w:sz="6" w:space="0" w:color="0D4D9E"/>
              <w:bottom w:val="single" w:sz="6" w:space="0" w:color="0D4D9E"/>
            </w:tcBorders>
            <w:shd w:val="clear" w:color="auto" w:fill="FFFFFF"/>
          </w:tcPr>
          <w:p w14:paraId="3F1FBD75" w14:textId="77777777" w:rsidR="0043356E" w:rsidRPr="00C02132" w:rsidRDefault="0043356E" w:rsidP="00D63B96">
            <w:pPr>
              <w:pStyle w:val="agenda-BODY"/>
            </w:pPr>
          </w:p>
        </w:tc>
        <w:tc>
          <w:tcPr>
            <w:tcW w:w="3240" w:type="dxa"/>
            <w:tcBorders>
              <w:top w:val="single" w:sz="6" w:space="0" w:color="0D4D9E"/>
              <w:bottom w:val="single" w:sz="6" w:space="0" w:color="0D4D9E"/>
            </w:tcBorders>
            <w:shd w:val="clear" w:color="auto" w:fill="FFFFFF"/>
          </w:tcPr>
          <w:p w14:paraId="3FB40BB8" w14:textId="77777777" w:rsidR="0043356E" w:rsidRPr="00C02132" w:rsidRDefault="0043356E" w:rsidP="00D63B96">
            <w:pPr>
              <w:pStyle w:val="agenda-BODY"/>
            </w:pPr>
          </w:p>
        </w:tc>
        <w:tc>
          <w:tcPr>
            <w:tcW w:w="1296" w:type="dxa"/>
            <w:tcBorders>
              <w:top w:val="single" w:sz="6" w:space="0" w:color="0D4D9E"/>
              <w:bottom w:val="single" w:sz="6" w:space="0" w:color="0D4D9E"/>
            </w:tcBorders>
            <w:shd w:val="clear" w:color="auto" w:fill="FFFFFF"/>
          </w:tcPr>
          <w:p w14:paraId="79325FFE" w14:textId="77777777" w:rsidR="0043356E" w:rsidRPr="00C02132" w:rsidRDefault="0043356E" w:rsidP="00D63B96">
            <w:pPr>
              <w:pStyle w:val="agenda-BODY"/>
            </w:pPr>
          </w:p>
        </w:tc>
      </w:tr>
      <w:tr w:rsidR="009224EA" w:rsidRPr="00C02132" w14:paraId="0B0BEE22" w14:textId="77777777" w:rsidTr="00BB6696">
        <w:trPr>
          <w:jc w:val="center"/>
        </w:trPr>
        <w:tc>
          <w:tcPr>
            <w:tcW w:w="14688" w:type="dxa"/>
            <w:gridSpan w:val="6"/>
            <w:tcBorders>
              <w:top w:val="single" w:sz="6" w:space="0" w:color="0D4D9E"/>
              <w:bottom w:val="single" w:sz="6" w:space="0" w:color="0D4D9E"/>
            </w:tcBorders>
            <w:shd w:val="clear" w:color="auto" w:fill="BBCEEB"/>
          </w:tcPr>
          <w:p w14:paraId="4793C57C" w14:textId="77777777" w:rsidR="009224EA" w:rsidRPr="00AE2336" w:rsidRDefault="004147A2" w:rsidP="002C1E71">
            <w:pPr>
              <w:pStyle w:val="Acutecare-new-agenda-hed"/>
            </w:pPr>
            <w:r w:rsidRPr="00C01220">
              <w:t>Barcode your return to stock process</w:t>
            </w:r>
          </w:p>
        </w:tc>
      </w:tr>
      <w:tr w:rsidR="004147A2" w:rsidRPr="00C02132" w14:paraId="5E3C445C" w14:textId="77777777" w:rsidTr="00E75F2F">
        <w:trPr>
          <w:jc w:val="center"/>
        </w:trPr>
        <w:tc>
          <w:tcPr>
            <w:tcW w:w="792" w:type="dxa"/>
            <w:tcBorders>
              <w:top w:val="single" w:sz="6" w:space="0" w:color="0D4D9E"/>
              <w:bottom w:val="single" w:sz="6" w:space="0" w:color="0D4D9E"/>
            </w:tcBorders>
            <w:shd w:val="clear" w:color="auto" w:fill="F0EBD3"/>
          </w:tcPr>
          <w:p w14:paraId="63BB37C9" w14:textId="77777777" w:rsidR="004147A2" w:rsidRPr="00C01220" w:rsidRDefault="004147A2" w:rsidP="00C15AA8">
            <w:pPr>
              <w:pStyle w:val="agenda-BODY"/>
            </w:pPr>
            <w:r w:rsidRPr="00C01220">
              <w:lastRenderedPageBreak/>
              <w:t>03/17</w:t>
            </w:r>
          </w:p>
        </w:tc>
        <w:tc>
          <w:tcPr>
            <w:tcW w:w="3330" w:type="dxa"/>
            <w:tcBorders>
              <w:top w:val="single" w:sz="6" w:space="0" w:color="0D4D9E"/>
              <w:bottom w:val="single" w:sz="6" w:space="0" w:color="0D4D9E"/>
            </w:tcBorders>
            <w:shd w:val="clear" w:color="auto" w:fill="FFF3D6"/>
          </w:tcPr>
          <w:p w14:paraId="20580505" w14:textId="77777777" w:rsidR="004147A2" w:rsidRPr="00D63B96" w:rsidRDefault="004147A2" w:rsidP="00D63B96">
            <w:pPr>
              <w:pStyle w:val="agenda-BODY"/>
            </w:pPr>
            <w:r w:rsidRPr="00D63B96">
              <w:t xml:space="preserve">A pharmacist was verifying a prescription for </w:t>
            </w:r>
            <w:proofErr w:type="spellStart"/>
            <w:r w:rsidRPr="00D63B96">
              <w:t>rif</w:t>
            </w:r>
            <w:r w:rsidRPr="00D63B96">
              <w:rPr>
                <w:b/>
              </w:rPr>
              <w:t>AMP</w:t>
            </w:r>
            <w:r w:rsidRPr="00D63B96">
              <w:t>in</w:t>
            </w:r>
            <w:proofErr w:type="spellEnd"/>
            <w:r w:rsidRPr="00D63B96">
              <w:t xml:space="preserve"> 150 mg capsules. When she opened the prescription vial to visually inspect the capsules, she noticed capsules with very slight differences in appearance. The prescription had been filled with both </w:t>
            </w:r>
            <w:proofErr w:type="spellStart"/>
            <w:r w:rsidRPr="00D63B96">
              <w:t>rif</w:t>
            </w:r>
            <w:r w:rsidRPr="00D63B96">
              <w:rPr>
                <w:b/>
              </w:rPr>
              <w:t>AMP</w:t>
            </w:r>
            <w:r w:rsidRPr="00D63B96">
              <w:t>in</w:t>
            </w:r>
            <w:proofErr w:type="spellEnd"/>
            <w:r w:rsidRPr="00D63B96">
              <w:t xml:space="preserve"> 150 mg and </w:t>
            </w:r>
            <w:proofErr w:type="spellStart"/>
            <w:r w:rsidRPr="00D63B96">
              <w:t>rif</w:t>
            </w:r>
            <w:r w:rsidRPr="00D63B96">
              <w:rPr>
                <w:b/>
              </w:rPr>
              <w:t>AMP</w:t>
            </w:r>
            <w:r w:rsidRPr="00D63B96">
              <w:t>in</w:t>
            </w:r>
            <w:proofErr w:type="spellEnd"/>
            <w:r w:rsidRPr="00D63B96">
              <w:t xml:space="preserve"> 300 mg capsules. It was determined that </w:t>
            </w:r>
            <w:proofErr w:type="spellStart"/>
            <w:r w:rsidR="00D63B96" w:rsidRPr="00D63B96">
              <w:t>rif</w:t>
            </w:r>
            <w:r w:rsidR="00D63B96">
              <w:rPr>
                <w:b/>
              </w:rPr>
              <w:t>AMP</w:t>
            </w:r>
            <w:r w:rsidR="00D63B96" w:rsidRPr="00D63B96">
              <w:t>in</w:t>
            </w:r>
            <w:proofErr w:type="spellEnd"/>
            <w:r w:rsidR="00D63B96">
              <w:t> </w:t>
            </w:r>
            <w:r w:rsidRPr="00D63B96">
              <w:t xml:space="preserve">300 mg capsules from a previous prescription had been returned to stock and added back into a bottle of </w:t>
            </w:r>
            <w:proofErr w:type="spellStart"/>
            <w:r w:rsidRPr="00D63B96">
              <w:t>rif</w:t>
            </w:r>
            <w:r w:rsidRPr="00D63B96">
              <w:rPr>
                <w:b/>
              </w:rPr>
              <w:t>AMP</w:t>
            </w:r>
            <w:r w:rsidR="00D63B96">
              <w:t>in</w:t>
            </w:r>
            <w:proofErr w:type="spellEnd"/>
            <w:r w:rsidR="00D63B96">
              <w:t xml:space="preserve"> 150 </w:t>
            </w:r>
            <w:r w:rsidRPr="00D63B96">
              <w:t>mg.</w:t>
            </w:r>
          </w:p>
          <w:p w14:paraId="6BC552FA" w14:textId="77777777" w:rsidR="00105D3B" w:rsidRPr="00D63B96" w:rsidRDefault="00105D3B" w:rsidP="00D63B96">
            <w:pPr>
              <w:pStyle w:val="agenda-BODY"/>
            </w:pPr>
          </w:p>
          <w:p w14:paraId="0C0D2993" w14:textId="77777777" w:rsidR="00E75F2F" w:rsidRPr="00D63B96" w:rsidRDefault="00E75F2F" w:rsidP="00D63B96">
            <w:pPr>
              <w:pStyle w:val="agenda-BODY"/>
            </w:pPr>
          </w:p>
        </w:tc>
        <w:tc>
          <w:tcPr>
            <w:tcW w:w="3510" w:type="dxa"/>
            <w:tcBorders>
              <w:top w:val="single" w:sz="6" w:space="0" w:color="0D4D9E"/>
              <w:bottom w:val="single" w:sz="6" w:space="0" w:color="0D4D9E"/>
            </w:tcBorders>
            <w:shd w:val="clear" w:color="auto" w:fill="F0EBD3"/>
          </w:tcPr>
          <w:p w14:paraId="70009D7A" w14:textId="77777777" w:rsidR="004147A2" w:rsidRPr="00D63B96" w:rsidRDefault="004147A2" w:rsidP="00D63B96">
            <w:pPr>
              <w:pStyle w:val="agenda-BODY"/>
            </w:pPr>
            <w:r w:rsidRPr="00D63B96">
              <w:t>Do not return drugs into manufacturer stock bottles. Best practice calls for the pharmacy computer system to generate a return-to-stock (RTS) label that includes the drug name and strength as well as a barcode that can be scanned during production and/or verification when used to fill a subsequent prescription. Apply the RTS label to all vials or bottles of products that are returned to stock. Develop a policy for recording the expiration date on the RTS label and periodically review and observe the process to ensure adherence.</w:t>
            </w:r>
          </w:p>
        </w:tc>
        <w:tc>
          <w:tcPr>
            <w:tcW w:w="2520" w:type="dxa"/>
            <w:tcBorders>
              <w:top w:val="single" w:sz="6" w:space="0" w:color="0D4D9E"/>
              <w:bottom w:val="single" w:sz="6" w:space="0" w:color="0D4D9E"/>
            </w:tcBorders>
            <w:shd w:val="clear" w:color="auto" w:fill="FFFFFF"/>
          </w:tcPr>
          <w:p w14:paraId="62A6508C" w14:textId="77777777" w:rsidR="004147A2" w:rsidRPr="00C02132" w:rsidRDefault="004147A2" w:rsidP="00D63B96">
            <w:pPr>
              <w:pStyle w:val="agenda-BODY"/>
            </w:pPr>
          </w:p>
        </w:tc>
        <w:tc>
          <w:tcPr>
            <w:tcW w:w="3240" w:type="dxa"/>
            <w:tcBorders>
              <w:top w:val="single" w:sz="6" w:space="0" w:color="0D4D9E"/>
              <w:bottom w:val="single" w:sz="6" w:space="0" w:color="0D4D9E"/>
            </w:tcBorders>
            <w:shd w:val="clear" w:color="auto" w:fill="FFFFFF"/>
          </w:tcPr>
          <w:p w14:paraId="216CF52F" w14:textId="77777777" w:rsidR="004147A2" w:rsidRPr="00C02132" w:rsidRDefault="004147A2" w:rsidP="00D63B96">
            <w:pPr>
              <w:pStyle w:val="agenda-BODY"/>
            </w:pPr>
          </w:p>
        </w:tc>
        <w:tc>
          <w:tcPr>
            <w:tcW w:w="1296" w:type="dxa"/>
            <w:tcBorders>
              <w:top w:val="single" w:sz="6" w:space="0" w:color="0D4D9E"/>
              <w:bottom w:val="single" w:sz="6" w:space="0" w:color="0D4D9E"/>
            </w:tcBorders>
            <w:shd w:val="clear" w:color="auto" w:fill="FFFFFF"/>
          </w:tcPr>
          <w:p w14:paraId="6C06DC3F" w14:textId="77777777" w:rsidR="004147A2" w:rsidRPr="00C02132" w:rsidRDefault="004147A2" w:rsidP="00D63B96">
            <w:pPr>
              <w:pStyle w:val="agenda-BODY"/>
            </w:pPr>
          </w:p>
        </w:tc>
      </w:tr>
      <w:tr w:rsidR="009224EA" w:rsidRPr="00C02132" w14:paraId="245AFEE3" w14:textId="77777777" w:rsidTr="00BB6696">
        <w:trPr>
          <w:jc w:val="center"/>
        </w:trPr>
        <w:tc>
          <w:tcPr>
            <w:tcW w:w="14688" w:type="dxa"/>
            <w:gridSpan w:val="6"/>
            <w:tcBorders>
              <w:top w:val="single" w:sz="6" w:space="0" w:color="0D4D9E"/>
              <w:bottom w:val="single" w:sz="6" w:space="0" w:color="0D4D9E"/>
            </w:tcBorders>
            <w:shd w:val="clear" w:color="auto" w:fill="BBCEEB"/>
          </w:tcPr>
          <w:p w14:paraId="491777C8" w14:textId="77777777" w:rsidR="009224EA" w:rsidRPr="00AE2336" w:rsidRDefault="002C1E71" w:rsidP="002C1E71">
            <w:pPr>
              <w:pStyle w:val="Acutecare-new-agenda-hed"/>
            </w:pPr>
            <w:r w:rsidRPr="00C01220">
              <w:t xml:space="preserve">Open </w:t>
            </w:r>
            <w:r w:rsidRPr="002C1E71">
              <w:t>the</w:t>
            </w:r>
            <w:r w:rsidRPr="00C01220">
              <w:t xml:space="preserve"> bag!</w:t>
            </w:r>
          </w:p>
        </w:tc>
      </w:tr>
      <w:tr w:rsidR="002C1E71" w:rsidRPr="00C02132" w14:paraId="241694BB" w14:textId="77777777" w:rsidTr="00E75F2F">
        <w:trPr>
          <w:jc w:val="center"/>
        </w:trPr>
        <w:tc>
          <w:tcPr>
            <w:tcW w:w="792" w:type="dxa"/>
            <w:tcBorders>
              <w:top w:val="single" w:sz="6" w:space="0" w:color="0D4D9E"/>
              <w:bottom w:val="single" w:sz="6" w:space="0" w:color="0D4D9E"/>
            </w:tcBorders>
            <w:shd w:val="clear" w:color="auto" w:fill="F0EBD3"/>
          </w:tcPr>
          <w:p w14:paraId="51F10C07" w14:textId="77777777" w:rsidR="002C1E71" w:rsidRPr="00C01220" w:rsidRDefault="002C1E71" w:rsidP="00C15AA8">
            <w:pPr>
              <w:pStyle w:val="agenda-BODY"/>
            </w:pPr>
            <w:r w:rsidRPr="00C01220">
              <w:t>04/17</w:t>
            </w:r>
          </w:p>
        </w:tc>
        <w:tc>
          <w:tcPr>
            <w:tcW w:w="3330" w:type="dxa"/>
            <w:tcBorders>
              <w:top w:val="single" w:sz="6" w:space="0" w:color="0D4D9E"/>
              <w:bottom w:val="single" w:sz="6" w:space="0" w:color="0D4D9E"/>
            </w:tcBorders>
            <w:shd w:val="clear" w:color="auto" w:fill="FFF3D6"/>
          </w:tcPr>
          <w:p w14:paraId="27673FE9" w14:textId="77777777" w:rsidR="002C1E71" w:rsidRPr="00D63B96" w:rsidRDefault="002C1E71" w:rsidP="00D63B96">
            <w:pPr>
              <w:pStyle w:val="agenda-BODY"/>
            </w:pPr>
            <w:r w:rsidRPr="00D63B96">
              <w:t xml:space="preserve">We received a report in which a pharmacist who was assisting the pharmacy technician grabbed the wrong patient’s bag and gave it to the technician to provide it to the patient. Neither the pharmacist nor technician verified the patient’s identity using two unique identifiers or opened the bag. </w:t>
            </w:r>
          </w:p>
          <w:p w14:paraId="3F0B9F8B" w14:textId="77777777" w:rsidR="00105D3B" w:rsidRPr="00D63B96" w:rsidRDefault="00105D3B" w:rsidP="00D63B96">
            <w:pPr>
              <w:pStyle w:val="agenda-BODY"/>
            </w:pPr>
          </w:p>
          <w:p w14:paraId="3BF45F6E" w14:textId="77777777" w:rsidR="00105D3B" w:rsidRPr="00D63B96" w:rsidRDefault="00105D3B" w:rsidP="00D63B96">
            <w:pPr>
              <w:pStyle w:val="agenda-BODY"/>
            </w:pPr>
          </w:p>
          <w:p w14:paraId="28FDC0D3" w14:textId="77777777" w:rsidR="00E75F2F" w:rsidRPr="00D63B96" w:rsidRDefault="00E75F2F" w:rsidP="00D63B96">
            <w:pPr>
              <w:pStyle w:val="agenda-BODY"/>
            </w:pPr>
          </w:p>
        </w:tc>
        <w:tc>
          <w:tcPr>
            <w:tcW w:w="3510" w:type="dxa"/>
            <w:tcBorders>
              <w:top w:val="single" w:sz="6" w:space="0" w:color="0D4D9E"/>
              <w:bottom w:val="single" w:sz="6" w:space="0" w:color="0D4D9E"/>
            </w:tcBorders>
            <w:shd w:val="clear" w:color="auto" w:fill="F0EBD3"/>
          </w:tcPr>
          <w:p w14:paraId="29DB2B88" w14:textId="77777777" w:rsidR="002C1E71" w:rsidRPr="00D63B96" w:rsidRDefault="002C1E71" w:rsidP="00D63B96">
            <w:pPr>
              <w:pStyle w:val="agenda-BODY"/>
            </w:pPr>
            <w:r w:rsidRPr="00D63B96">
              <w:t>Open the bag of filled prescriptions at the point-of-sale to verify that the medications are for the correct patient. Always ask the patient to provide at least two patient identifiers—their full name and date of birth—when picking up prescriptions. Talking with the patient about their medications can further reduce the risk of errors.</w:t>
            </w:r>
          </w:p>
        </w:tc>
        <w:tc>
          <w:tcPr>
            <w:tcW w:w="2520" w:type="dxa"/>
            <w:tcBorders>
              <w:top w:val="single" w:sz="6" w:space="0" w:color="0D4D9E"/>
              <w:bottom w:val="single" w:sz="6" w:space="0" w:color="0D4D9E"/>
            </w:tcBorders>
            <w:shd w:val="clear" w:color="auto" w:fill="FFFFFF"/>
          </w:tcPr>
          <w:p w14:paraId="5821C1D1" w14:textId="77777777" w:rsidR="002C1E71" w:rsidRPr="00C02132" w:rsidRDefault="002C1E71" w:rsidP="00D63B96">
            <w:pPr>
              <w:pStyle w:val="agenda-BODY"/>
            </w:pPr>
          </w:p>
        </w:tc>
        <w:tc>
          <w:tcPr>
            <w:tcW w:w="3240" w:type="dxa"/>
            <w:tcBorders>
              <w:top w:val="single" w:sz="6" w:space="0" w:color="0D4D9E"/>
              <w:bottom w:val="single" w:sz="6" w:space="0" w:color="0D4D9E"/>
            </w:tcBorders>
            <w:shd w:val="clear" w:color="auto" w:fill="FFFFFF"/>
          </w:tcPr>
          <w:p w14:paraId="22155EB9" w14:textId="77777777" w:rsidR="002C1E71" w:rsidRPr="00C02132" w:rsidRDefault="002C1E71" w:rsidP="00D63B96">
            <w:pPr>
              <w:pStyle w:val="agenda-BODY"/>
            </w:pPr>
          </w:p>
        </w:tc>
        <w:tc>
          <w:tcPr>
            <w:tcW w:w="1296" w:type="dxa"/>
            <w:tcBorders>
              <w:top w:val="single" w:sz="6" w:space="0" w:color="0D4D9E"/>
              <w:bottom w:val="single" w:sz="6" w:space="0" w:color="0D4D9E"/>
            </w:tcBorders>
            <w:shd w:val="clear" w:color="auto" w:fill="FFFFFF"/>
          </w:tcPr>
          <w:p w14:paraId="28DF92FC" w14:textId="77777777" w:rsidR="002C1E71" w:rsidRPr="00C02132" w:rsidRDefault="002C1E71" w:rsidP="00D63B96">
            <w:pPr>
              <w:pStyle w:val="agenda-BODY"/>
            </w:pPr>
          </w:p>
        </w:tc>
      </w:tr>
      <w:tr w:rsidR="009224EA" w:rsidRPr="00C02132" w14:paraId="749211D4" w14:textId="77777777" w:rsidTr="00BB6696">
        <w:trPr>
          <w:jc w:val="center"/>
        </w:trPr>
        <w:tc>
          <w:tcPr>
            <w:tcW w:w="14688" w:type="dxa"/>
            <w:gridSpan w:val="6"/>
            <w:tcBorders>
              <w:top w:val="single" w:sz="6" w:space="0" w:color="0D4D9E"/>
              <w:bottom w:val="single" w:sz="6" w:space="0" w:color="0D4D9E"/>
            </w:tcBorders>
            <w:shd w:val="clear" w:color="auto" w:fill="BBCEEB"/>
          </w:tcPr>
          <w:p w14:paraId="115492D8" w14:textId="77777777" w:rsidR="009224EA" w:rsidRPr="00AE2336" w:rsidRDefault="00E72A7F" w:rsidP="00E72A7F">
            <w:pPr>
              <w:pStyle w:val="Acutecare-new-agenda-hed"/>
            </w:pPr>
            <w:r w:rsidRPr="00C01220">
              <w:t xml:space="preserve">Look-alike bottles from </w:t>
            </w:r>
            <w:proofErr w:type="spellStart"/>
            <w:r w:rsidRPr="00C01220">
              <w:t>Cipla</w:t>
            </w:r>
            <w:proofErr w:type="spellEnd"/>
            <w:r w:rsidRPr="00C01220">
              <w:t xml:space="preserve"> and Sandoz</w:t>
            </w:r>
          </w:p>
        </w:tc>
      </w:tr>
      <w:tr w:rsidR="00E72A7F" w:rsidRPr="00C02132" w14:paraId="471A82A8" w14:textId="77777777" w:rsidTr="00E75F2F">
        <w:trPr>
          <w:trHeight w:val="246"/>
          <w:jc w:val="center"/>
        </w:trPr>
        <w:tc>
          <w:tcPr>
            <w:tcW w:w="792" w:type="dxa"/>
            <w:tcBorders>
              <w:top w:val="single" w:sz="6" w:space="0" w:color="0D4D9E"/>
              <w:bottom w:val="single" w:sz="6" w:space="0" w:color="0D4D9E"/>
            </w:tcBorders>
            <w:shd w:val="clear" w:color="auto" w:fill="F0EBD3"/>
          </w:tcPr>
          <w:p w14:paraId="22C2D60C" w14:textId="77777777" w:rsidR="00E72A7F" w:rsidRPr="00C01220" w:rsidRDefault="00E72A7F" w:rsidP="00C15AA8">
            <w:pPr>
              <w:pStyle w:val="agenda-BODY"/>
            </w:pPr>
            <w:r>
              <w:t xml:space="preserve">01/17 </w:t>
            </w:r>
            <w:r w:rsidRPr="00C01220">
              <w:t>02/17</w:t>
            </w:r>
          </w:p>
        </w:tc>
        <w:tc>
          <w:tcPr>
            <w:tcW w:w="3330" w:type="dxa"/>
            <w:tcBorders>
              <w:top w:val="single" w:sz="6" w:space="0" w:color="0D4D9E"/>
              <w:bottom w:val="single" w:sz="6" w:space="0" w:color="0D4D9E"/>
            </w:tcBorders>
            <w:shd w:val="clear" w:color="auto" w:fill="FFF3D6"/>
          </w:tcPr>
          <w:p w14:paraId="279A50B8" w14:textId="77777777" w:rsidR="00E72A7F" w:rsidRPr="00D63B96" w:rsidRDefault="00E72A7F" w:rsidP="00D63B96">
            <w:pPr>
              <w:pStyle w:val="agenda-BODY"/>
            </w:pPr>
            <w:r w:rsidRPr="00D63B96">
              <w:t xml:space="preserve">Bottles of gemfibrozil 600 mg tablets and gabapentin 600 mg tablets, both made by </w:t>
            </w:r>
            <w:proofErr w:type="spellStart"/>
            <w:r w:rsidRPr="00D63B96">
              <w:t>Cipla</w:t>
            </w:r>
            <w:proofErr w:type="spellEnd"/>
            <w:r w:rsidRPr="00D63B96">
              <w:t xml:space="preserve">, look nearly identical. Both products have similar looking names and overlapping dosage strengths. The containers also use the same colors. Furthermore, bottles of Sandoz’s atenolol 25 mg and </w:t>
            </w:r>
            <w:proofErr w:type="spellStart"/>
            <w:r w:rsidRPr="00D63B96">
              <w:rPr>
                <w:b/>
              </w:rPr>
              <w:t>ALPRAZ</w:t>
            </w:r>
            <w:r w:rsidRPr="00D63B96">
              <w:t>olam</w:t>
            </w:r>
            <w:proofErr w:type="spellEnd"/>
            <w:r w:rsidRPr="00D63B96">
              <w:t xml:space="preserve"> 0.25 mg look very similar. The containers share the same color scheme, layout design, and the numerical combination “25.” Also, it is likely that these may be stored near one another, increasing the risk of mix-ups.</w:t>
            </w:r>
          </w:p>
          <w:p w14:paraId="66176BD2" w14:textId="77777777" w:rsidR="00105D3B" w:rsidRPr="00D63B96" w:rsidRDefault="00105D3B" w:rsidP="00D63B96">
            <w:pPr>
              <w:pStyle w:val="agenda-BODY"/>
            </w:pPr>
          </w:p>
          <w:p w14:paraId="2B905459" w14:textId="77777777" w:rsidR="00CC6B2C" w:rsidRPr="00D63B96" w:rsidRDefault="00CC6B2C" w:rsidP="00D63B96">
            <w:pPr>
              <w:pStyle w:val="agenda-BODY"/>
            </w:pPr>
          </w:p>
        </w:tc>
        <w:tc>
          <w:tcPr>
            <w:tcW w:w="3510" w:type="dxa"/>
            <w:tcBorders>
              <w:top w:val="single" w:sz="6" w:space="0" w:color="0D4D9E"/>
              <w:bottom w:val="single" w:sz="6" w:space="0" w:color="0D4D9E"/>
            </w:tcBorders>
            <w:shd w:val="clear" w:color="auto" w:fill="F0EBD3"/>
          </w:tcPr>
          <w:p w14:paraId="5B0093E0" w14:textId="77777777" w:rsidR="00E72A7F" w:rsidRPr="00D63B96" w:rsidRDefault="00E72A7F" w:rsidP="00D63B96">
            <w:pPr>
              <w:pStyle w:val="agenda-BODY"/>
            </w:pPr>
            <w:r w:rsidRPr="00D63B96">
              <w:t>Explore ordering one item of each of these pairs from a different manufacturer. If this is not an option, make the bottles look different by marking the drug container or adding auxiliary warnings. Do not store these drugs side-by-side on the pharmacy shelf. Use shelf dividers to keep stock separated and neatly organized. If you separate storage of these products, post signs or shelf stickers to direct pharmacy staff to the location of the product that was moved. Barcode scanning can identify when the wrong product is selected from the shelf.</w:t>
            </w:r>
          </w:p>
        </w:tc>
        <w:tc>
          <w:tcPr>
            <w:tcW w:w="2520" w:type="dxa"/>
            <w:tcBorders>
              <w:top w:val="single" w:sz="6" w:space="0" w:color="0D4D9E"/>
              <w:bottom w:val="single" w:sz="6" w:space="0" w:color="0D4D9E"/>
            </w:tcBorders>
            <w:shd w:val="clear" w:color="auto" w:fill="FFFFFF"/>
          </w:tcPr>
          <w:p w14:paraId="4035E565" w14:textId="77777777" w:rsidR="00E72A7F" w:rsidRPr="00C02132" w:rsidRDefault="00E72A7F" w:rsidP="00D63B96">
            <w:pPr>
              <w:pStyle w:val="agenda-BODY"/>
            </w:pPr>
          </w:p>
        </w:tc>
        <w:tc>
          <w:tcPr>
            <w:tcW w:w="3240" w:type="dxa"/>
            <w:tcBorders>
              <w:top w:val="single" w:sz="6" w:space="0" w:color="0D4D9E"/>
              <w:bottom w:val="single" w:sz="6" w:space="0" w:color="0D4D9E"/>
            </w:tcBorders>
            <w:shd w:val="clear" w:color="auto" w:fill="FFFFFF"/>
          </w:tcPr>
          <w:p w14:paraId="6EAE388B" w14:textId="77777777" w:rsidR="00E72A7F" w:rsidRPr="00C02132" w:rsidRDefault="00E72A7F" w:rsidP="00D63B96">
            <w:pPr>
              <w:pStyle w:val="agenda-BODY"/>
            </w:pPr>
          </w:p>
        </w:tc>
        <w:tc>
          <w:tcPr>
            <w:tcW w:w="1296" w:type="dxa"/>
            <w:tcBorders>
              <w:top w:val="single" w:sz="6" w:space="0" w:color="0D4D9E"/>
              <w:bottom w:val="single" w:sz="6" w:space="0" w:color="0D4D9E"/>
            </w:tcBorders>
            <w:shd w:val="clear" w:color="auto" w:fill="FFFFFF"/>
          </w:tcPr>
          <w:p w14:paraId="2CBC1912" w14:textId="77777777" w:rsidR="00E72A7F" w:rsidRPr="00C02132" w:rsidRDefault="00E72A7F" w:rsidP="00D63B96">
            <w:pPr>
              <w:pStyle w:val="agenda-BODY"/>
            </w:pPr>
          </w:p>
        </w:tc>
      </w:tr>
    </w:tbl>
    <w:p w14:paraId="5F134CEF" w14:textId="77777777" w:rsidR="00ED7DDF" w:rsidRPr="00105D3B" w:rsidRDefault="00ED7DDF" w:rsidP="00BE71DF">
      <w:pPr>
        <w:rPr>
          <w:sz w:val="2"/>
          <w:szCs w:val="2"/>
        </w:rPr>
      </w:pPr>
    </w:p>
    <w:sectPr w:rsidR="00ED7DDF" w:rsidRPr="00105D3B" w:rsidSect="00E15A70">
      <w:headerReference w:type="default" r:id="rId10"/>
      <w:footerReference w:type="default" r:id="rId11"/>
      <w:headerReference w:type="first" r:id="rId12"/>
      <w:footerReference w:type="first" r:id="rId13"/>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ED91D" w14:textId="77777777" w:rsidR="00424E50" w:rsidRDefault="00424E50">
      <w:r>
        <w:separator/>
      </w:r>
    </w:p>
  </w:endnote>
  <w:endnote w:type="continuationSeparator" w:id="0">
    <w:p w14:paraId="442700D7" w14:textId="77777777" w:rsidR="00424E50" w:rsidRDefault="00424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kzidenz Grotesk BE BoldEx">
    <w:panose1 w:val="00000000000000000000"/>
    <w:charset w:val="00"/>
    <w:family w:val="swiss"/>
    <w:notTrueType/>
    <w:pitch w:val="variable"/>
    <w:sig w:usb0="00000003" w:usb1="00000000" w:usb2="00000000" w:usb3="00000000" w:csb0="00000001" w:csb1="00000000"/>
  </w:font>
  <w:font w:name="Akzidenz Grotesk BE Cn">
    <w:panose1 w:val="00000000000000000000"/>
    <w:charset w:val="00"/>
    <w:family w:val="swiss"/>
    <w:notTrueType/>
    <w:pitch w:val="variable"/>
    <w:sig w:usb0="00000003" w:usb1="00000000" w:usb2="00000000" w:usb3="00000000" w:csb0="00000001" w:csb1="00000000"/>
  </w:font>
  <w:font w:name="Univers LT Std 55">
    <w:altName w:val="Trebuchet MS"/>
    <w:panose1 w:val="00000000000000000000"/>
    <w:charset w:val="00"/>
    <w:family w:val="swiss"/>
    <w:notTrueType/>
    <w:pitch w:val="variable"/>
    <w:sig w:usb0="00000003" w:usb1="00000000" w:usb2="00000000" w:usb3="00000000" w:csb0="00000001" w:csb1="00000000"/>
  </w:font>
  <w:font w:name="Akzidenz Grotesk BE Light">
    <w:panose1 w:val="00000000000000000000"/>
    <w:charset w:val="00"/>
    <w:family w:val="swiss"/>
    <w:notTrueType/>
    <w:pitch w:val="variable"/>
    <w:sig w:usb0="00000003" w:usb1="00000000" w:usb2="00000000" w:usb3="00000000" w:csb0="00000001" w:csb1="00000000"/>
  </w:font>
  <w:font w:name="Univers LT Std 47 Cn L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LT Std 57 Cn">
    <w:altName w:val="Arial Narrow"/>
    <w:panose1 w:val="00000000000000000000"/>
    <w:charset w:val="00"/>
    <w:family w:val="swiss"/>
    <w:notTrueType/>
    <w:pitch w:val="variable"/>
    <w:sig w:usb0="00000003" w:usb1="00000000" w:usb2="00000000" w:usb3="00000000" w:csb0="00000001" w:csb1="00000000"/>
  </w:font>
  <w:font w:name="Akzidenz Grotesk BE Ex">
    <w:panose1 w:val="00000000000000000000"/>
    <w:charset w:val="00"/>
    <w:family w:val="swiss"/>
    <w:notTrueType/>
    <w:pitch w:val="variable"/>
    <w:sig w:usb0="00000003" w:usb1="00000000" w:usb2="00000000" w:usb3="00000000" w:csb0="00000001" w:csb1="00000000"/>
  </w:font>
  <w:font w:name="Univers LT Std 45 Light">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9DA37" w14:textId="77777777" w:rsidR="00571FC0" w:rsidRPr="000C417B" w:rsidRDefault="00571FC0" w:rsidP="00F52484">
    <w:pPr>
      <w:pStyle w:val="hosp-volume-no"/>
      <w:rPr>
        <w:color w:val="000000"/>
      </w:rPr>
    </w:pPr>
  </w:p>
  <w:tbl>
    <w:tblPr>
      <w:tblW w:w="14760" w:type="dxa"/>
      <w:tblInd w:w="-252" w:type="dxa"/>
      <w:tblLook w:val="01E0" w:firstRow="1" w:lastRow="1" w:firstColumn="1" w:lastColumn="1" w:noHBand="0" w:noVBand="0"/>
    </w:tblPr>
    <w:tblGrid>
      <w:gridCol w:w="4644"/>
      <w:gridCol w:w="4392"/>
      <w:gridCol w:w="5724"/>
    </w:tblGrid>
    <w:tr w:rsidR="00571FC0" w:rsidRPr="00662C82" w14:paraId="3B1DFD76" w14:textId="77777777" w:rsidTr="00B36686">
      <w:tc>
        <w:tcPr>
          <w:tcW w:w="4644" w:type="dxa"/>
          <w:shd w:val="clear" w:color="auto" w:fill="auto"/>
        </w:tcPr>
        <w:p w14:paraId="07555F07" w14:textId="00DD0076" w:rsidR="00571FC0" w:rsidRPr="00662C82" w:rsidRDefault="00E52DBA" w:rsidP="00BE71DF">
          <w:pPr>
            <w:pStyle w:val="hosp-volume-no"/>
            <w:jc w:val="left"/>
            <w:rPr>
              <w:rFonts w:ascii="Univers LT Std 45 Light" w:hAnsi="Univers LT Std 45 Light"/>
            </w:rPr>
          </w:pPr>
          <w:r>
            <w:rPr>
              <w:rFonts w:ascii="Univers LT Std 45 Light" w:hAnsi="Univers LT Std 45 Light"/>
              <w:color w:val="000000"/>
            </w:rPr>
            <w:t>May</w:t>
          </w:r>
          <w:r w:rsidR="00BE71DF">
            <w:rPr>
              <w:rFonts w:ascii="Univers LT Std 45 Light" w:hAnsi="Univers LT Std 45 Light"/>
              <w:color w:val="000000"/>
            </w:rPr>
            <w:t xml:space="preserve"> 2017</w:t>
          </w:r>
        </w:p>
      </w:tc>
      <w:tc>
        <w:tcPr>
          <w:tcW w:w="4392" w:type="dxa"/>
          <w:shd w:val="clear" w:color="auto" w:fill="auto"/>
        </w:tcPr>
        <w:p w14:paraId="712B4A82" w14:textId="77777777" w:rsidR="00571FC0" w:rsidRPr="00662C82" w:rsidRDefault="00571FC0" w:rsidP="00B36686">
          <w:pPr>
            <w:jc w:val="center"/>
            <w:rPr>
              <w:rFonts w:ascii="Univers LT Std 45 Light" w:hAnsi="Univers LT Std 45 Light"/>
            </w:rPr>
          </w:pPr>
          <w:r w:rsidRPr="00662C82">
            <w:rPr>
              <w:rFonts w:ascii="Univers LT Std 45 Light" w:hAnsi="Univers LT Std 45 Light"/>
              <w:position w:val="-1"/>
              <w:sz w:val="18"/>
            </w:rPr>
            <w:t xml:space="preserve">ISMP </w:t>
          </w:r>
          <w:proofErr w:type="spellStart"/>
          <w:r w:rsidRPr="00662C82">
            <w:rPr>
              <w:rFonts w:ascii="Univers LT Std 45 Light" w:hAnsi="Univers LT Std 45 Light"/>
              <w:position w:val="-1"/>
              <w:sz w:val="18"/>
            </w:rPr>
            <w:t>Medication</w:t>
          </w:r>
          <w:r w:rsidRPr="00662C82">
            <w:rPr>
              <w:rFonts w:ascii="Univers LT Std 55" w:hAnsi="Univers LT Std 55"/>
              <w:b/>
              <w:position w:val="-1"/>
              <w:sz w:val="18"/>
            </w:rPr>
            <w:t>Safety</w:t>
          </w:r>
          <w:r w:rsidRPr="00662C82">
            <w:rPr>
              <w:rFonts w:ascii="Univers LT Std 45 Light" w:hAnsi="Univers LT Std 45 Light"/>
              <w:position w:val="-1"/>
              <w:sz w:val="18"/>
            </w:rPr>
            <w:t>Alert</w:t>
          </w:r>
          <w:proofErr w:type="spellEnd"/>
          <w:r w:rsidRPr="00662C82">
            <w:rPr>
              <w:rFonts w:ascii="Univers LT Std 45 Light" w:hAnsi="Univers LT Std 45 Light"/>
              <w:position w:val="-1"/>
              <w:sz w:val="18"/>
            </w:rPr>
            <w:t>!</w:t>
          </w:r>
          <w:r w:rsidRPr="00662C82">
            <w:rPr>
              <w:rStyle w:val="Normal1"/>
              <w:rFonts w:ascii="Univers LT Std 45 Light" w:hAnsi="Univers LT Std 45 Light"/>
              <w:sz w:val="11"/>
              <w:vertAlign w:val="superscript"/>
            </w:rPr>
            <w:t></w:t>
          </w:r>
          <w:r w:rsidRPr="00662C82">
            <w:rPr>
              <w:rFonts w:ascii="Univers LT Std 45 Light" w:hAnsi="Univers LT Std 45 Light"/>
            </w:rPr>
            <w:cr/>
          </w:r>
          <w:r w:rsidRPr="00662C82">
            <w:rPr>
              <w:rFonts w:ascii="Univers LT Std 45 Light" w:hAnsi="Univers LT Std 45 Light"/>
              <w:position w:val="-1"/>
              <w:sz w:val="18"/>
            </w:rPr>
            <w:t>Community/Ambulatory Care Edition</w:t>
          </w:r>
        </w:p>
        <w:p w14:paraId="24D65B8F" w14:textId="77777777" w:rsidR="00571FC0" w:rsidRPr="00662C82" w:rsidRDefault="00571FC0" w:rsidP="00B36686">
          <w:pPr>
            <w:pStyle w:val="hosp-volume-no"/>
            <w:jc w:val="right"/>
            <w:rPr>
              <w:rFonts w:ascii="Univers LT Std 45 Light" w:hAnsi="Univers LT Std 45 Light"/>
            </w:rPr>
          </w:pPr>
        </w:p>
      </w:tc>
      <w:tc>
        <w:tcPr>
          <w:tcW w:w="5724" w:type="dxa"/>
          <w:shd w:val="clear" w:color="auto" w:fill="auto"/>
        </w:tcPr>
        <w:p w14:paraId="4E833A04" w14:textId="30BE29CA" w:rsidR="00571FC0" w:rsidRPr="00662C82" w:rsidRDefault="00BE71DF" w:rsidP="00B36686">
          <w:pPr>
            <w:pStyle w:val="hosp-volume-no"/>
            <w:jc w:val="right"/>
            <w:rPr>
              <w:rStyle w:val="PageNumber"/>
              <w:rFonts w:ascii="Univers LT Std 45 Light" w:hAnsi="Univers LT Std 45 Light"/>
              <w:color w:val="000000"/>
              <w:szCs w:val="24"/>
            </w:rPr>
          </w:pPr>
          <w:r>
            <w:rPr>
              <w:rFonts w:ascii="Univers LT Std 45 Light" w:hAnsi="Univers LT Std 45 Light"/>
            </w:rPr>
            <w:t>AC</w:t>
          </w:r>
          <w:r w:rsidR="00571FC0" w:rsidRPr="00662C82">
            <w:rPr>
              <w:rFonts w:ascii="Univers LT Std 45 Light" w:hAnsi="Univers LT Std 45 Light"/>
            </w:rPr>
            <w:t xml:space="preserve">AA </w:t>
          </w:r>
          <w:r w:rsidR="00571FC0" w:rsidRPr="00662C82">
            <w:rPr>
              <w:rStyle w:val="PageNumber"/>
              <w:rFonts w:ascii="Univers LT Std 45 Light" w:hAnsi="Univers LT Std 45 Light"/>
              <w:color w:val="000000"/>
              <w:szCs w:val="24"/>
            </w:rPr>
            <w:fldChar w:fldCharType="begin"/>
          </w:r>
          <w:r w:rsidR="00571FC0" w:rsidRPr="00662C82">
            <w:rPr>
              <w:rStyle w:val="PageNumber"/>
              <w:rFonts w:ascii="Univers LT Std 45 Light" w:hAnsi="Univers LT Std 45 Light"/>
              <w:color w:val="000000"/>
              <w:szCs w:val="24"/>
            </w:rPr>
            <w:instrText xml:space="preserve"> PAGE </w:instrText>
          </w:r>
          <w:r w:rsidR="00571FC0" w:rsidRPr="00662C82">
            <w:rPr>
              <w:rStyle w:val="PageNumber"/>
              <w:rFonts w:ascii="Univers LT Std 45 Light" w:hAnsi="Univers LT Std 45 Light"/>
              <w:color w:val="000000"/>
              <w:szCs w:val="24"/>
            </w:rPr>
            <w:fldChar w:fldCharType="separate"/>
          </w:r>
          <w:r w:rsidR="00E52DBA">
            <w:rPr>
              <w:rStyle w:val="PageNumber"/>
              <w:rFonts w:ascii="Univers LT Std 45 Light" w:hAnsi="Univers LT Std 45 Light"/>
              <w:noProof/>
              <w:color w:val="000000"/>
              <w:szCs w:val="24"/>
            </w:rPr>
            <w:t>2</w:t>
          </w:r>
          <w:r w:rsidR="00571FC0" w:rsidRPr="00662C82">
            <w:rPr>
              <w:rStyle w:val="PageNumber"/>
              <w:rFonts w:ascii="Univers LT Std 45 Light" w:hAnsi="Univers LT Std 45 Light"/>
              <w:color w:val="000000"/>
              <w:szCs w:val="24"/>
            </w:rPr>
            <w:fldChar w:fldCharType="end"/>
          </w:r>
        </w:p>
        <w:p w14:paraId="1B5586B8" w14:textId="77777777" w:rsidR="00571FC0" w:rsidRPr="00662C82" w:rsidRDefault="00571FC0" w:rsidP="00B36686">
          <w:pPr>
            <w:pStyle w:val="hosp-volume-no"/>
            <w:jc w:val="right"/>
            <w:rPr>
              <w:rFonts w:ascii="Univers LT Std 45 Light" w:hAnsi="Univers LT Std 45 Light"/>
            </w:rPr>
          </w:pPr>
        </w:p>
      </w:tc>
    </w:tr>
  </w:tbl>
  <w:p w14:paraId="08916FB0" w14:textId="77777777" w:rsidR="00571FC0" w:rsidRDefault="00571FC0" w:rsidP="00BE7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1719" w14:textId="77777777" w:rsidR="00571FC0" w:rsidRDefault="00571FC0" w:rsidP="00DF38FA">
    <w:pPr>
      <w:pStyle w:val="Footer"/>
      <w:ind w:right="-180"/>
    </w:pPr>
  </w:p>
  <w:tbl>
    <w:tblPr>
      <w:tblW w:w="14760" w:type="dxa"/>
      <w:tblInd w:w="-252" w:type="dxa"/>
      <w:tblLook w:val="01E0" w:firstRow="1" w:lastRow="1" w:firstColumn="1" w:lastColumn="1" w:noHBand="0" w:noVBand="0"/>
    </w:tblPr>
    <w:tblGrid>
      <w:gridCol w:w="4644"/>
      <w:gridCol w:w="4392"/>
      <w:gridCol w:w="5724"/>
    </w:tblGrid>
    <w:tr w:rsidR="00571FC0" w14:paraId="5A284D6F" w14:textId="77777777" w:rsidTr="00B36686">
      <w:tc>
        <w:tcPr>
          <w:tcW w:w="4644" w:type="dxa"/>
          <w:shd w:val="clear" w:color="auto" w:fill="auto"/>
        </w:tcPr>
        <w:p w14:paraId="0242EED4" w14:textId="77777777" w:rsidR="00571FC0" w:rsidRPr="000F0C09" w:rsidRDefault="00BE71DF" w:rsidP="00BE71DF">
          <w:pPr>
            <w:pStyle w:val="hosp-volume-no"/>
            <w:jc w:val="left"/>
            <w:rPr>
              <w:rFonts w:ascii="Univers LT Std 45 Light" w:hAnsi="Univers LT Std 45 Light"/>
            </w:rPr>
          </w:pPr>
          <w:r>
            <w:rPr>
              <w:rFonts w:ascii="Univers LT Std 45 Light" w:hAnsi="Univers LT Std 45 Light"/>
              <w:color w:val="000000"/>
            </w:rPr>
            <w:t>May 2017</w:t>
          </w:r>
        </w:p>
      </w:tc>
      <w:tc>
        <w:tcPr>
          <w:tcW w:w="4392" w:type="dxa"/>
          <w:shd w:val="clear" w:color="auto" w:fill="auto"/>
        </w:tcPr>
        <w:p w14:paraId="5CD0FF33" w14:textId="77777777" w:rsidR="00571FC0" w:rsidRPr="000F0C09" w:rsidRDefault="00571FC0" w:rsidP="00B36686">
          <w:pPr>
            <w:jc w:val="center"/>
            <w:rPr>
              <w:rFonts w:ascii="Univers LT Std 45 Light" w:hAnsi="Univers LT Std 45 Light"/>
            </w:rPr>
          </w:pPr>
          <w:r w:rsidRPr="000F0C09">
            <w:rPr>
              <w:rFonts w:ascii="Univers LT Std 45 Light" w:hAnsi="Univers LT Std 45 Light"/>
              <w:position w:val="-1"/>
              <w:sz w:val="18"/>
            </w:rPr>
            <w:t xml:space="preserve">ISMP </w:t>
          </w:r>
          <w:proofErr w:type="spellStart"/>
          <w:r w:rsidRPr="000F0C09">
            <w:rPr>
              <w:rFonts w:ascii="Univers LT Std 45 Light" w:hAnsi="Univers LT Std 45 Light"/>
              <w:position w:val="-1"/>
              <w:sz w:val="18"/>
            </w:rPr>
            <w:t>Medication</w:t>
          </w:r>
          <w:r w:rsidRPr="000F0C09">
            <w:rPr>
              <w:rFonts w:ascii="Univers LT Std 55" w:hAnsi="Univers LT Std 55"/>
              <w:b/>
              <w:position w:val="-1"/>
              <w:sz w:val="18"/>
            </w:rPr>
            <w:t>Safety</w:t>
          </w:r>
          <w:r w:rsidRPr="000F0C09">
            <w:rPr>
              <w:rFonts w:ascii="Univers LT Std 45 Light" w:hAnsi="Univers LT Std 45 Light"/>
              <w:position w:val="-1"/>
              <w:sz w:val="18"/>
            </w:rPr>
            <w:t>Alert</w:t>
          </w:r>
          <w:proofErr w:type="spellEnd"/>
          <w:r w:rsidRPr="000F0C09">
            <w:rPr>
              <w:rFonts w:ascii="Univers LT Std 45 Light" w:hAnsi="Univers LT Std 45 Light"/>
              <w:position w:val="-1"/>
              <w:sz w:val="18"/>
            </w:rPr>
            <w:t>!</w:t>
          </w:r>
          <w:r w:rsidRPr="000F0C09">
            <w:rPr>
              <w:rStyle w:val="Normal1"/>
              <w:rFonts w:ascii="Univers LT Std 45 Light" w:hAnsi="Univers LT Std 45 Light"/>
              <w:sz w:val="11"/>
              <w:vertAlign w:val="superscript"/>
            </w:rPr>
            <w:t></w:t>
          </w:r>
          <w:r w:rsidRPr="000F0C09">
            <w:rPr>
              <w:rFonts w:ascii="Univers LT Std 45 Light" w:hAnsi="Univers LT Std 45 Light"/>
            </w:rPr>
            <w:cr/>
          </w:r>
          <w:r w:rsidRPr="000F0C09">
            <w:rPr>
              <w:rFonts w:ascii="Univers LT Std 45 Light" w:hAnsi="Univers LT Std 45 Light"/>
              <w:position w:val="-1"/>
              <w:sz w:val="18"/>
            </w:rPr>
            <w:t>Community/Ambulatory Care Edition</w:t>
          </w:r>
        </w:p>
        <w:p w14:paraId="58DB2C9B" w14:textId="77777777" w:rsidR="00571FC0" w:rsidRDefault="00571FC0" w:rsidP="00B36686">
          <w:pPr>
            <w:pStyle w:val="hosp-volume-no"/>
            <w:jc w:val="right"/>
          </w:pPr>
        </w:p>
      </w:tc>
      <w:tc>
        <w:tcPr>
          <w:tcW w:w="5724" w:type="dxa"/>
          <w:shd w:val="clear" w:color="auto" w:fill="auto"/>
        </w:tcPr>
        <w:p w14:paraId="6B4B286C" w14:textId="20EF15F9" w:rsidR="00571FC0" w:rsidRPr="000F0C09" w:rsidRDefault="00BE71DF" w:rsidP="00B36686">
          <w:pPr>
            <w:pStyle w:val="hosp-volume-no"/>
            <w:jc w:val="right"/>
            <w:rPr>
              <w:rStyle w:val="PageNumber"/>
              <w:rFonts w:ascii="Univers LT Std 45 Light" w:hAnsi="Univers LT Std 45 Light"/>
              <w:color w:val="000000"/>
              <w:szCs w:val="24"/>
            </w:rPr>
          </w:pPr>
          <w:r>
            <w:rPr>
              <w:rFonts w:ascii="Univers LT Std 45 Light" w:hAnsi="Univers LT Std 45 Light"/>
            </w:rPr>
            <w:t>ACAA</w:t>
          </w:r>
          <w:r w:rsidR="00571FC0" w:rsidRPr="000F0C09">
            <w:rPr>
              <w:rFonts w:ascii="Univers LT Std 45 Light" w:hAnsi="Univers LT Std 45 Light"/>
            </w:rPr>
            <w:t xml:space="preserve"> </w:t>
          </w:r>
          <w:r w:rsidR="00571FC0" w:rsidRPr="000F0C09">
            <w:rPr>
              <w:rStyle w:val="PageNumber"/>
              <w:rFonts w:ascii="Univers LT Std 45 Light" w:hAnsi="Univers LT Std 45 Light"/>
              <w:color w:val="000000"/>
              <w:szCs w:val="24"/>
            </w:rPr>
            <w:fldChar w:fldCharType="begin"/>
          </w:r>
          <w:r w:rsidR="00571FC0" w:rsidRPr="000F0C09">
            <w:rPr>
              <w:rStyle w:val="PageNumber"/>
              <w:rFonts w:ascii="Univers LT Std 45 Light" w:hAnsi="Univers LT Std 45 Light"/>
              <w:color w:val="000000"/>
              <w:szCs w:val="24"/>
            </w:rPr>
            <w:instrText xml:space="preserve"> PAGE </w:instrText>
          </w:r>
          <w:r w:rsidR="00571FC0" w:rsidRPr="000F0C09">
            <w:rPr>
              <w:rStyle w:val="PageNumber"/>
              <w:rFonts w:ascii="Univers LT Std 45 Light" w:hAnsi="Univers LT Std 45 Light"/>
              <w:color w:val="000000"/>
              <w:szCs w:val="24"/>
            </w:rPr>
            <w:fldChar w:fldCharType="separate"/>
          </w:r>
          <w:r w:rsidR="00E52DBA">
            <w:rPr>
              <w:rStyle w:val="PageNumber"/>
              <w:rFonts w:ascii="Univers LT Std 45 Light" w:hAnsi="Univers LT Std 45 Light"/>
              <w:noProof/>
              <w:color w:val="000000"/>
              <w:szCs w:val="24"/>
            </w:rPr>
            <w:t>1</w:t>
          </w:r>
          <w:r w:rsidR="00571FC0" w:rsidRPr="000F0C09">
            <w:rPr>
              <w:rStyle w:val="PageNumber"/>
              <w:rFonts w:ascii="Univers LT Std 45 Light" w:hAnsi="Univers LT Std 45 Light"/>
              <w:color w:val="000000"/>
              <w:szCs w:val="24"/>
            </w:rPr>
            <w:fldChar w:fldCharType="end"/>
          </w:r>
        </w:p>
        <w:p w14:paraId="3D5AA993" w14:textId="77777777" w:rsidR="00571FC0" w:rsidRDefault="00571FC0" w:rsidP="00B36686">
          <w:pPr>
            <w:pStyle w:val="hosp-volume-no"/>
            <w:jc w:val="right"/>
          </w:pPr>
        </w:p>
      </w:tc>
    </w:tr>
  </w:tbl>
  <w:p w14:paraId="572F7DC7" w14:textId="77777777" w:rsidR="00571FC0" w:rsidRDefault="00571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6AA8B" w14:textId="77777777" w:rsidR="00424E50" w:rsidRDefault="00424E50">
      <w:r>
        <w:separator/>
      </w:r>
    </w:p>
  </w:footnote>
  <w:footnote w:type="continuationSeparator" w:id="0">
    <w:p w14:paraId="390B64CD" w14:textId="77777777" w:rsidR="00424E50" w:rsidRDefault="00424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6B844" w14:textId="77777777" w:rsidR="00CC6B2C" w:rsidRPr="00D66374" w:rsidRDefault="00CC6B2C" w:rsidP="00CC6B2C">
    <w:pPr>
      <w:jc w:val="center"/>
      <w:rPr>
        <w:rFonts w:ascii="Akzidenz Grotesk BE Ex" w:hAnsi="Akzidenz Grotesk BE Ex"/>
        <w:color w:val="999999"/>
        <w:sz w:val="18"/>
      </w:rPr>
    </w:pPr>
    <w:r>
      <w:rPr>
        <w:rFonts w:ascii="Akzidenz Grotesk BE Ex" w:hAnsi="Akzidenz Grotesk BE Ex"/>
        <w:color w:val="999999"/>
        <w:sz w:val="18"/>
      </w:rPr>
      <w:t>January – April 2017</w:t>
    </w:r>
  </w:p>
  <w:p w14:paraId="16B7CA6B" w14:textId="77777777" w:rsidR="00CC6B2C" w:rsidRPr="00CC6B2C" w:rsidRDefault="00CC6B2C" w:rsidP="00CC6B2C">
    <w:pPr>
      <w:tabs>
        <w:tab w:val="center" w:pos="7002"/>
        <w:tab w:val="left" w:pos="10325"/>
      </w:tabs>
      <w:ind w:right="-180"/>
      <w:rPr>
        <w:rFonts w:ascii="Univers LT Std 55" w:hAnsi="Univers LT Std 55"/>
        <w:color w:val="0D4D9E"/>
        <w:sz w:val="12"/>
      </w:rPr>
    </w:pPr>
    <w:r>
      <w:rPr>
        <w:rFonts w:ascii="Univers LT Std 55" w:hAnsi="Univers LT Std 55"/>
        <w:i/>
        <w:color w:val="0D4D9E"/>
        <w:position w:val="-2"/>
        <w:sz w:val="18"/>
      </w:rPr>
      <w:tab/>
    </w:r>
    <w:r w:rsidRPr="00CC6B2C">
      <w:rPr>
        <w:rFonts w:ascii="Univers LT Std 55" w:hAnsi="Univers LT Std 55"/>
        <w:i/>
        <w:color w:val="0D4D9E"/>
        <w:position w:val="-2"/>
        <w:sz w:val="18"/>
      </w:rPr>
      <w:t>ISMP</w:t>
    </w:r>
    <w:proofErr w:type="spellStart"/>
    <w:r w:rsidRPr="00CC6B2C">
      <w:rPr>
        <w:rFonts w:ascii="Univers LT Std 55" w:hAnsi="Univers LT Std 55"/>
        <w:color w:val="0D4D9E"/>
        <w:position w:val="-3"/>
        <w:sz w:val="32"/>
      </w:rPr>
      <w:t>Ambulatory</w:t>
    </w:r>
    <w:r w:rsidRPr="00CC6B2C">
      <w:rPr>
        <w:rFonts w:ascii="Univers LT Std 55" w:hAnsi="Univers LT Std 55"/>
        <w:b/>
        <w:color w:val="0D4D9E"/>
        <w:position w:val="-3"/>
        <w:sz w:val="32"/>
      </w:rPr>
      <w:t>Care</w:t>
    </w:r>
    <w:proofErr w:type="spellEnd"/>
    <w:r w:rsidRPr="00CC6B2C">
      <w:rPr>
        <w:rFonts w:ascii="Univers LT Std 55" w:hAnsi="Univers LT Std 55"/>
        <w:color w:val="0D4D9E"/>
        <w:position w:val="-3"/>
        <w:sz w:val="32"/>
      </w:rPr>
      <w:t xml:space="preserve"> </w:t>
    </w:r>
    <w:proofErr w:type="spellStart"/>
    <w:r w:rsidRPr="00CC6B2C">
      <w:rPr>
        <w:rFonts w:ascii="Univers LT Std 55" w:hAnsi="Univers LT Std 55"/>
        <w:b/>
        <w:color w:val="0D4D9E"/>
        <w:position w:val="-3"/>
        <w:sz w:val="32"/>
      </w:rPr>
      <w:t>Action</w:t>
    </w:r>
    <w:r w:rsidRPr="00CC6B2C">
      <w:rPr>
        <w:rFonts w:ascii="Univers LT Std 55" w:hAnsi="Univers LT Std 55"/>
        <w:color w:val="0D4D9E"/>
        <w:position w:val="-3"/>
        <w:sz w:val="32"/>
      </w:rPr>
      <w:t>Agenda</w:t>
    </w:r>
    <w:proofErr w:type="spellEnd"/>
    <w:r>
      <w:rPr>
        <w:rFonts w:ascii="Univers LT Std 55" w:hAnsi="Univers LT Std 55"/>
        <w:color w:val="0D4D9E"/>
        <w:position w:val="-3"/>
        <w:sz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749F1" w14:textId="0EC3C1D7" w:rsidR="00571FC0" w:rsidRPr="00D66374" w:rsidRDefault="00F077FC" w:rsidP="00D66374">
    <w:pPr>
      <w:jc w:val="center"/>
      <w:rPr>
        <w:rFonts w:ascii="Akzidenz Grotesk BE Ex" w:hAnsi="Akzidenz Grotesk BE Ex"/>
        <w:color w:val="999999"/>
        <w:sz w:val="18"/>
      </w:rPr>
    </w:pPr>
    <w:r>
      <w:rPr>
        <w:rFonts w:ascii="Akzidenz Grotesk BE Ex" w:hAnsi="Akzidenz Grotesk BE Ex"/>
        <w:color w:val="999999"/>
        <w:sz w:val="18"/>
      </w:rPr>
      <w:t>January – April 2017</w:t>
    </w:r>
  </w:p>
  <w:p w14:paraId="7CFC66A8" w14:textId="77777777" w:rsidR="00571FC0" w:rsidRPr="00CC6B2C" w:rsidRDefault="00571FC0" w:rsidP="002D0D7C">
    <w:pPr>
      <w:jc w:val="center"/>
      <w:rPr>
        <w:rFonts w:ascii="Univers LT Std 55" w:hAnsi="Univers LT Std 55"/>
        <w:color w:val="0D4D9E"/>
      </w:rPr>
    </w:pPr>
    <w:r w:rsidRPr="00CC6B2C">
      <w:rPr>
        <w:rFonts w:ascii="Univers LT Std 55" w:hAnsi="Univers LT Std 55"/>
        <w:i/>
        <w:color w:val="0D4D9E"/>
        <w:position w:val="-2"/>
        <w:sz w:val="34"/>
      </w:rPr>
      <w:t>ISMP</w:t>
    </w:r>
    <w:proofErr w:type="spellStart"/>
    <w:r w:rsidRPr="00CC6B2C">
      <w:rPr>
        <w:rFonts w:ascii="Univers LT Std 55" w:hAnsi="Univers LT Std 55"/>
        <w:color w:val="0D4D9E"/>
        <w:position w:val="-3"/>
        <w:sz w:val="54"/>
      </w:rPr>
      <w:t>Ambulatory</w:t>
    </w:r>
    <w:r w:rsidRPr="00CC6B2C">
      <w:rPr>
        <w:rFonts w:ascii="Univers LT Std 55" w:hAnsi="Univers LT Std 55"/>
        <w:b/>
        <w:color w:val="0D4D9E"/>
        <w:position w:val="-3"/>
        <w:sz w:val="54"/>
      </w:rPr>
      <w:t>Care</w:t>
    </w:r>
    <w:proofErr w:type="spellEnd"/>
    <w:r w:rsidRPr="00CC6B2C">
      <w:rPr>
        <w:rFonts w:ascii="Univers LT Std 55" w:hAnsi="Univers LT Std 55"/>
        <w:color w:val="0D4D9E"/>
        <w:position w:val="-3"/>
        <w:sz w:val="54"/>
      </w:rPr>
      <w:t xml:space="preserve"> </w:t>
    </w:r>
    <w:proofErr w:type="spellStart"/>
    <w:r w:rsidRPr="00CC6B2C">
      <w:rPr>
        <w:rFonts w:ascii="Univers LT Std 55" w:hAnsi="Univers LT Std 55"/>
        <w:b/>
        <w:color w:val="0D4D9E"/>
        <w:position w:val="-3"/>
        <w:sz w:val="54"/>
      </w:rPr>
      <w:t>Action</w:t>
    </w:r>
    <w:r w:rsidRPr="00CC6B2C">
      <w:rPr>
        <w:rFonts w:ascii="Univers LT Std 55" w:hAnsi="Univers LT Std 55"/>
        <w:color w:val="0D4D9E"/>
        <w:position w:val="-3"/>
        <w:sz w:val="54"/>
      </w:rPr>
      <w:t>Agenda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2049">
      <o:colormru v:ext="edit" colors="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DDF"/>
    <w:rsid w:val="0000263F"/>
    <w:rsid w:val="00007686"/>
    <w:rsid w:val="000136D2"/>
    <w:rsid w:val="00022EF4"/>
    <w:rsid w:val="00037545"/>
    <w:rsid w:val="00041291"/>
    <w:rsid w:val="0004277F"/>
    <w:rsid w:val="0004763F"/>
    <w:rsid w:val="00064888"/>
    <w:rsid w:val="00065E21"/>
    <w:rsid w:val="00086CE1"/>
    <w:rsid w:val="00090643"/>
    <w:rsid w:val="00097AED"/>
    <w:rsid w:val="000A7973"/>
    <w:rsid w:val="000B2CE1"/>
    <w:rsid w:val="000C1DBB"/>
    <w:rsid w:val="000C417B"/>
    <w:rsid w:val="000D05BF"/>
    <w:rsid w:val="000E36E6"/>
    <w:rsid w:val="000E5ECC"/>
    <w:rsid w:val="000F0C09"/>
    <w:rsid w:val="00100C1D"/>
    <w:rsid w:val="00103423"/>
    <w:rsid w:val="00105D3B"/>
    <w:rsid w:val="00107B68"/>
    <w:rsid w:val="00111477"/>
    <w:rsid w:val="0011186D"/>
    <w:rsid w:val="001121F0"/>
    <w:rsid w:val="001122D4"/>
    <w:rsid w:val="00136F07"/>
    <w:rsid w:val="00137B58"/>
    <w:rsid w:val="001451F0"/>
    <w:rsid w:val="001512BF"/>
    <w:rsid w:val="00161303"/>
    <w:rsid w:val="001655FA"/>
    <w:rsid w:val="00171CDF"/>
    <w:rsid w:val="001737E2"/>
    <w:rsid w:val="001759C0"/>
    <w:rsid w:val="00183329"/>
    <w:rsid w:val="001A4415"/>
    <w:rsid w:val="001B4218"/>
    <w:rsid w:val="001C76EB"/>
    <w:rsid w:val="001D00E3"/>
    <w:rsid w:val="001D2E86"/>
    <w:rsid w:val="001E05A5"/>
    <w:rsid w:val="001E09D5"/>
    <w:rsid w:val="001F166C"/>
    <w:rsid w:val="001F4C4B"/>
    <w:rsid w:val="00200157"/>
    <w:rsid w:val="002261C9"/>
    <w:rsid w:val="00235ABC"/>
    <w:rsid w:val="002527D2"/>
    <w:rsid w:val="00276E72"/>
    <w:rsid w:val="00282888"/>
    <w:rsid w:val="00292167"/>
    <w:rsid w:val="00293636"/>
    <w:rsid w:val="002A432E"/>
    <w:rsid w:val="002B2DA7"/>
    <w:rsid w:val="002B79E7"/>
    <w:rsid w:val="002C0BAF"/>
    <w:rsid w:val="002C1E71"/>
    <w:rsid w:val="002C7C0B"/>
    <w:rsid w:val="002D0AC8"/>
    <w:rsid w:val="002D0D7C"/>
    <w:rsid w:val="002D4152"/>
    <w:rsid w:val="002E16D6"/>
    <w:rsid w:val="002F3AE0"/>
    <w:rsid w:val="00311B3C"/>
    <w:rsid w:val="00317141"/>
    <w:rsid w:val="00317B44"/>
    <w:rsid w:val="00320B7E"/>
    <w:rsid w:val="00330C42"/>
    <w:rsid w:val="00331306"/>
    <w:rsid w:val="003517AB"/>
    <w:rsid w:val="00352C0F"/>
    <w:rsid w:val="00363D17"/>
    <w:rsid w:val="0038144F"/>
    <w:rsid w:val="00391E76"/>
    <w:rsid w:val="003920B6"/>
    <w:rsid w:val="003957A8"/>
    <w:rsid w:val="00396864"/>
    <w:rsid w:val="00397550"/>
    <w:rsid w:val="003A2BB2"/>
    <w:rsid w:val="003B69A5"/>
    <w:rsid w:val="003C0364"/>
    <w:rsid w:val="003C0D38"/>
    <w:rsid w:val="003E7BFC"/>
    <w:rsid w:val="00405850"/>
    <w:rsid w:val="00407D1A"/>
    <w:rsid w:val="004147A2"/>
    <w:rsid w:val="00422005"/>
    <w:rsid w:val="00424E50"/>
    <w:rsid w:val="0043356E"/>
    <w:rsid w:val="00446E8F"/>
    <w:rsid w:val="00450B0C"/>
    <w:rsid w:val="0046245C"/>
    <w:rsid w:val="00473B6D"/>
    <w:rsid w:val="00481D01"/>
    <w:rsid w:val="00482777"/>
    <w:rsid w:val="004917B7"/>
    <w:rsid w:val="0049572E"/>
    <w:rsid w:val="004A716E"/>
    <w:rsid w:val="004B0130"/>
    <w:rsid w:val="004B2623"/>
    <w:rsid w:val="004B29BE"/>
    <w:rsid w:val="004B309D"/>
    <w:rsid w:val="004C4A63"/>
    <w:rsid w:val="004C79A5"/>
    <w:rsid w:val="004F0D06"/>
    <w:rsid w:val="00502537"/>
    <w:rsid w:val="00503C5E"/>
    <w:rsid w:val="00510080"/>
    <w:rsid w:val="005168EB"/>
    <w:rsid w:val="005226C7"/>
    <w:rsid w:val="00533376"/>
    <w:rsid w:val="00540581"/>
    <w:rsid w:val="00556D1F"/>
    <w:rsid w:val="005603E6"/>
    <w:rsid w:val="00565948"/>
    <w:rsid w:val="00571FC0"/>
    <w:rsid w:val="005755AB"/>
    <w:rsid w:val="005979DB"/>
    <w:rsid w:val="005B24A2"/>
    <w:rsid w:val="005B2CAD"/>
    <w:rsid w:val="005C016C"/>
    <w:rsid w:val="005C0DB2"/>
    <w:rsid w:val="005D26FA"/>
    <w:rsid w:val="005D2A75"/>
    <w:rsid w:val="005D66E0"/>
    <w:rsid w:val="005E5138"/>
    <w:rsid w:val="005E51CD"/>
    <w:rsid w:val="005E73C8"/>
    <w:rsid w:val="005E790A"/>
    <w:rsid w:val="006314AA"/>
    <w:rsid w:val="00632432"/>
    <w:rsid w:val="0063613F"/>
    <w:rsid w:val="0066080D"/>
    <w:rsid w:val="00662C82"/>
    <w:rsid w:val="006630A4"/>
    <w:rsid w:val="00675C4D"/>
    <w:rsid w:val="00684D1E"/>
    <w:rsid w:val="00685901"/>
    <w:rsid w:val="00685F62"/>
    <w:rsid w:val="006872A9"/>
    <w:rsid w:val="006B0563"/>
    <w:rsid w:val="006B4006"/>
    <w:rsid w:val="006C0394"/>
    <w:rsid w:val="006C1155"/>
    <w:rsid w:val="006D1340"/>
    <w:rsid w:val="006D671A"/>
    <w:rsid w:val="006E656E"/>
    <w:rsid w:val="006F0B2B"/>
    <w:rsid w:val="006F6697"/>
    <w:rsid w:val="00720867"/>
    <w:rsid w:val="0072480E"/>
    <w:rsid w:val="007266B9"/>
    <w:rsid w:val="00736820"/>
    <w:rsid w:val="00757D59"/>
    <w:rsid w:val="00763821"/>
    <w:rsid w:val="0078775E"/>
    <w:rsid w:val="00787925"/>
    <w:rsid w:val="0079079C"/>
    <w:rsid w:val="007A3331"/>
    <w:rsid w:val="007B3E30"/>
    <w:rsid w:val="007C357E"/>
    <w:rsid w:val="007C5952"/>
    <w:rsid w:val="007D70CF"/>
    <w:rsid w:val="007E4305"/>
    <w:rsid w:val="007E5563"/>
    <w:rsid w:val="007F2CD5"/>
    <w:rsid w:val="007F3754"/>
    <w:rsid w:val="007F6FE5"/>
    <w:rsid w:val="007F7AE7"/>
    <w:rsid w:val="00815A02"/>
    <w:rsid w:val="008219D3"/>
    <w:rsid w:val="0082558E"/>
    <w:rsid w:val="008279B2"/>
    <w:rsid w:val="00837D17"/>
    <w:rsid w:val="008455F2"/>
    <w:rsid w:val="00847BF8"/>
    <w:rsid w:val="00853864"/>
    <w:rsid w:val="0086532E"/>
    <w:rsid w:val="008746DC"/>
    <w:rsid w:val="008900FD"/>
    <w:rsid w:val="0089012D"/>
    <w:rsid w:val="00892D86"/>
    <w:rsid w:val="00893CF3"/>
    <w:rsid w:val="00894342"/>
    <w:rsid w:val="008A237E"/>
    <w:rsid w:val="008B248A"/>
    <w:rsid w:val="008C06DD"/>
    <w:rsid w:val="008C4BCC"/>
    <w:rsid w:val="008C4CFB"/>
    <w:rsid w:val="008D39F5"/>
    <w:rsid w:val="008D7CCF"/>
    <w:rsid w:val="008E38BF"/>
    <w:rsid w:val="008E77D1"/>
    <w:rsid w:val="00916416"/>
    <w:rsid w:val="009224EA"/>
    <w:rsid w:val="00930886"/>
    <w:rsid w:val="009459E4"/>
    <w:rsid w:val="0096106F"/>
    <w:rsid w:val="00966C3E"/>
    <w:rsid w:val="00971EF2"/>
    <w:rsid w:val="00975D5C"/>
    <w:rsid w:val="009A327D"/>
    <w:rsid w:val="009A59FA"/>
    <w:rsid w:val="009A76D2"/>
    <w:rsid w:val="009C3C93"/>
    <w:rsid w:val="009F5965"/>
    <w:rsid w:val="00A02ECF"/>
    <w:rsid w:val="00A0309D"/>
    <w:rsid w:val="00A107FA"/>
    <w:rsid w:val="00A17AFE"/>
    <w:rsid w:val="00A201A5"/>
    <w:rsid w:val="00A30BF2"/>
    <w:rsid w:val="00A32D65"/>
    <w:rsid w:val="00A41E36"/>
    <w:rsid w:val="00A53FFE"/>
    <w:rsid w:val="00A5481A"/>
    <w:rsid w:val="00A61736"/>
    <w:rsid w:val="00A6494A"/>
    <w:rsid w:val="00A65BFF"/>
    <w:rsid w:val="00A66F76"/>
    <w:rsid w:val="00A6798F"/>
    <w:rsid w:val="00A741DB"/>
    <w:rsid w:val="00A81AFD"/>
    <w:rsid w:val="00A94372"/>
    <w:rsid w:val="00AA7508"/>
    <w:rsid w:val="00AC0268"/>
    <w:rsid w:val="00AC5EC7"/>
    <w:rsid w:val="00AE0770"/>
    <w:rsid w:val="00AE4ABA"/>
    <w:rsid w:val="00AF2107"/>
    <w:rsid w:val="00AF213F"/>
    <w:rsid w:val="00AF29B5"/>
    <w:rsid w:val="00B0339A"/>
    <w:rsid w:val="00B201FC"/>
    <w:rsid w:val="00B36686"/>
    <w:rsid w:val="00B66999"/>
    <w:rsid w:val="00B722C2"/>
    <w:rsid w:val="00B7742B"/>
    <w:rsid w:val="00B81EEF"/>
    <w:rsid w:val="00B90BB3"/>
    <w:rsid w:val="00B91D3F"/>
    <w:rsid w:val="00B967D6"/>
    <w:rsid w:val="00BA0902"/>
    <w:rsid w:val="00BB0667"/>
    <w:rsid w:val="00BB6696"/>
    <w:rsid w:val="00BD05AF"/>
    <w:rsid w:val="00BD110C"/>
    <w:rsid w:val="00BE2252"/>
    <w:rsid w:val="00BE71DF"/>
    <w:rsid w:val="00BF6076"/>
    <w:rsid w:val="00C01E22"/>
    <w:rsid w:val="00C02132"/>
    <w:rsid w:val="00C1299F"/>
    <w:rsid w:val="00C15944"/>
    <w:rsid w:val="00C301D5"/>
    <w:rsid w:val="00C43829"/>
    <w:rsid w:val="00C44915"/>
    <w:rsid w:val="00C56E2D"/>
    <w:rsid w:val="00C67F47"/>
    <w:rsid w:val="00C71391"/>
    <w:rsid w:val="00C80DC7"/>
    <w:rsid w:val="00C84627"/>
    <w:rsid w:val="00CB7905"/>
    <w:rsid w:val="00CC1137"/>
    <w:rsid w:val="00CC276A"/>
    <w:rsid w:val="00CC6B2C"/>
    <w:rsid w:val="00CC7533"/>
    <w:rsid w:val="00CF6895"/>
    <w:rsid w:val="00D0668D"/>
    <w:rsid w:val="00D3033B"/>
    <w:rsid w:val="00D36378"/>
    <w:rsid w:val="00D5110F"/>
    <w:rsid w:val="00D63B96"/>
    <w:rsid w:val="00D6578C"/>
    <w:rsid w:val="00D66374"/>
    <w:rsid w:val="00D763EF"/>
    <w:rsid w:val="00D84E5E"/>
    <w:rsid w:val="00D96759"/>
    <w:rsid w:val="00D969B6"/>
    <w:rsid w:val="00DA4619"/>
    <w:rsid w:val="00DB0EA0"/>
    <w:rsid w:val="00DB2E0D"/>
    <w:rsid w:val="00DB7740"/>
    <w:rsid w:val="00DC20B4"/>
    <w:rsid w:val="00DE62D1"/>
    <w:rsid w:val="00DE77D2"/>
    <w:rsid w:val="00DF38FA"/>
    <w:rsid w:val="00DF45D1"/>
    <w:rsid w:val="00E138BE"/>
    <w:rsid w:val="00E15A70"/>
    <w:rsid w:val="00E20F27"/>
    <w:rsid w:val="00E325CF"/>
    <w:rsid w:val="00E4096B"/>
    <w:rsid w:val="00E50A5E"/>
    <w:rsid w:val="00E512B3"/>
    <w:rsid w:val="00E52DBA"/>
    <w:rsid w:val="00E72A7F"/>
    <w:rsid w:val="00E75F2F"/>
    <w:rsid w:val="00E810F8"/>
    <w:rsid w:val="00E872FA"/>
    <w:rsid w:val="00E91CB5"/>
    <w:rsid w:val="00EA4612"/>
    <w:rsid w:val="00EA5888"/>
    <w:rsid w:val="00EC0343"/>
    <w:rsid w:val="00ED7DDF"/>
    <w:rsid w:val="00F003F7"/>
    <w:rsid w:val="00F026EA"/>
    <w:rsid w:val="00F077FC"/>
    <w:rsid w:val="00F25E6B"/>
    <w:rsid w:val="00F37A22"/>
    <w:rsid w:val="00F41A79"/>
    <w:rsid w:val="00F435C0"/>
    <w:rsid w:val="00F47445"/>
    <w:rsid w:val="00F52484"/>
    <w:rsid w:val="00F53E84"/>
    <w:rsid w:val="00F56B2D"/>
    <w:rsid w:val="00F63EBC"/>
    <w:rsid w:val="00F73AF8"/>
    <w:rsid w:val="00F8736B"/>
    <w:rsid w:val="00F87C0A"/>
    <w:rsid w:val="00F901ED"/>
    <w:rsid w:val="00F95EC3"/>
    <w:rsid w:val="00FA3D62"/>
    <w:rsid w:val="00FB2CD6"/>
    <w:rsid w:val="00FC3995"/>
    <w:rsid w:val="00FE2E2C"/>
    <w:rsid w:val="00FE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ffc"/>
    </o:shapedefaults>
    <o:shapelayout v:ext="edit">
      <o:idmap v:ext="edit" data="1"/>
    </o:shapelayout>
  </w:shapeDefaults>
  <w:decimalSymbol w:val="."/>
  <w:listSeparator w:val=","/>
  <w14:docId w14:val="0AB79B6D"/>
  <w15:docId w15:val="{C6348862-E8B2-4139-9576-15C8CB79C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C1E71"/>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locked/>
    <w:rsid w:val="00763821"/>
    <w:pPr>
      <w:tabs>
        <w:tab w:val="center" w:pos="5735"/>
        <w:tab w:val="center" w:pos="7906"/>
        <w:tab w:val="center" w:pos="10080"/>
      </w:tabs>
      <w:spacing w:line="200" w:lineRule="exact"/>
    </w:pPr>
    <w:rPr>
      <w:rFonts w:ascii="Akzidenz Grotesk BE BoldEx" w:hAnsi="Akzidenz Grotesk BE BoldEx"/>
      <w:sz w:val="19"/>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2C1E71"/>
    <w:pPr>
      <w:tabs>
        <w:tab w:val="center" w:pos="5735"/>
        <w:tab w:val="center" w:pos="7906"/>
        <w:tab w:val="center" w:pos="10080"/>
      </w:tabs>
      <w:jc w:val="center"/>
    </w:pPr>
    <w:rPr>
      <w:rFonts w:ascii="Univers LT Std 55" w:hAnsi="Univers LT Std 55"/>
      <w:b/>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rPr>
      <w:sz w:val="18"/>
    </w:rPr>
  </w:style>
  <w:style w:type="paragraph" w:customStyle="1" w:styleId="StyleAcutecare-new-agenda-hedCentered">
    <w:name w:val="Style Acutecare-new-agenda-hed + Centered"/>
    <w:basedOn w:val="Acutecare-new-agenda-hed"/>
    <w:rsid w:val="00CC7533"/>
    <w:rPr>
      <w:sz w:val="18"/>
    </w:rPr>
  </w:style>
  <w:style w:type="paragraph" w:customStyle="1" w:styleId="agenda-BODY">
    <w:name w:val="agenda-BODY"/>
    <w:qFormat/>
    <w:rsid w:val="00685F62"/>
    <w:rPr>
      <w:rFonts w:ascii="Univers LT Std 47 Cn Lt" w:hAnsi="Univers LT Std 47 Cn Lt"/>
      <w:sz w:val="19"/>
    </w:rPr>
  </w:style>
  <w:style w:type="paragraph" w:styleId="BalloonText">
    <w:name w:val="Balloon Text"/>
    <w:basedOn w:val="Normal"/>
    <w:link w:val="BalloonTextChar"/>
    <w:locked/>
    <w:rsid w:val="00396864"/>
    <w:rPr>
      <w:rFonts w:ascii="Tahoma" w:hAnsi="Tahoma" w:cs="Tahoma"/>
      <w:sz w:val="16"/>
      <w:szCs w:val="16"/>
    </w:rPr>
  </w:style>
  <w:style w:type="character" w:customStyle="1" w:styleId="BalloonTextChar">
    <w:name w:val="Balloon Text Char"/>
    <w:basedOn w:val="DefaultParagraphFont"/>
    <w:link w:val="BalloonText"/>
    <w:rsid w:val="003968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669FA9011CB4241BCE9FB143DFC7D87" ma:contentTypeVersion="8" ma:contentTypeDescription="Create a new document." ma:contentTypeScope="" ma:versionID="e37dc911dc5243bbe578da0330f24950">
  <xsd:schema xmlns:xsd="http://www.w3.org/2001/XMLSchema" xmlns:xs="http://www.w3.org/2001/XMLSchema" xmlns:p="http://schemas.microsoft.com/office/2006/metadata/properties" xmlns:ns2="15b9b306-a27a-47a5-95ee-23e6b8cd343e" xmlns:ns3="9d419ed9-10ab-41c6-a5a9-ae073a0ae28f" targetNamespace="http://schemas.microsoft.com/office/2006/metadata/properties" ma:root="true" ma:fieldsID="7637480e4758b178beb448a124b5e96a" ns2:_="" ns3:_="">
    <xsd:import namespace="15b9b306-a27a-47a5-95ee-23e6b8cd343e"/>
    <xsd:import namespace="9d419ed9-10ab-41c6-a5a9-ae073a0ae2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9b306-a27a-47a5-95ee-23e6b8cd34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419ed9-10ab-41c6-a5a9-ae073a0ae2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66822F-F8CC-4C84-B752-D43E91BE9421}">
  <ds:schemaRefs>
    <ds:schemaRef ds:uri="http://schemas.openxmlformats.org/officeDocument/2006/bibliography"/>
  </ds:schemaRefs>
</ds:datastoreItem>
</file>

<file path=customXml/itemProps2.xml><?xml version="1.0" encoding="utf-8"?>
<ds:datastoreItem xmlns:ds="http://schemas.openxmlformats.org/officeDocument/2006/customXml" ds:itemID="{1FB4B416-F5D1-4198-895B-8041F8316B64}"/>
</file>

<file path=customXml/itemProps3.xml><?xml version="1.0" encoding="utf-8"?>
<ds:datastoreItem xmlns:ds="http://schemas.openxmlformats.org/officeDocument/2006/customXml" ds:itemID="{58718C1F-E1D7-4CD1-B751-C299AC0AFE76}"/>
</file>

<file path=customXml/itemProps4.xml><?xml version="1.0" encoding="utf-8"?>
<ds:datastoreItem xmlns:ds="http://schemas.openxmlformats.org/officeDocument/2006/customXml" ds:itemID="{DE25E0CB-16BE-4817-92DE-AE2AD593F414}"/>
</file>

<file path=docProps/app.xml><?xml version="1.0" encoding="utf-8"?>
<Properties xmlns="http://schemas.openxmlformats.org/officeDocument/2006/extended-properties" xmlns:vt="http://schemas.openxmlformats.org/officeDocument/2006/docPropsVTypes">
  <Template>Normal.dotm</Template>
  <TotalTime>1</TotalTime>
  <Pages>1</Pages>
  <Words>1242</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ISMP Medication Safety Alert</vt:lpstr>
    </vt:vector>
  </TitlesOfParts>
  <Company>ISMP</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dc:title>
  <dc:creator>Judy Smetzer</dc:creator>
  <cp:lastModifiedBy>William Cunningham</cp:lastModifiedBy>
  <cp:revision>4</cp:revision>
  <cp:lastPrinted>2006-07-27T04:12:00Z</cp:lastPrinted>
  <dcterms:created xsi:type="dcterms:W3CDTF">2017-06-01T18:43:00Z</dcterms:created>
  <dcterms:modified xsi:type="dcterms:W3CDTF">2017-06-01T18:45:00Z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0x0101009669FA9011CB4241BCE9FB143DFC7D87</vt:lpwstr>
  </property>
</Properties>
</file>