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231184913"/>
    <w:bookmarkStart w:id="1" w:name="_MON_1238434392"/>
    <w:bookmarkStart w:id="2" w:name="_MON_1238434662"/>
    <w:bookmarkStart w:id="3" w:name="_MON_1252867714"/>
    <w:bookmarkStart w:id="4" w:name="_MON_1301937154"/>
    <w:bookmarkStart w:id="5" w:name="_MON_1301937233"/>
    <w:bookmarkStart w:id="6" w:name="_MON_1301937332"/>
    <w:bookmarkStart w:id="7" w:name="_MON_1301937386"/>
    <w:bookmarkStart w:id="8" w:name="_MON_1301937409"/>
    <w:bookmarkStart w:id="9" w:name="_MON_1301938247"/>
    <w:bookmarkStart w:id="10" w:name="_MON_1357578261"/>
    <w:bookmarkStart w:id="11" w:name="_MON_1231182667"/>
    <w:bookmarkStart w:id="12" w:name="_MON_1231182695"/>
    <w:bookmarkStart w:id="13" w:name="_MON_1231182702"/>
    <w:bookmarkStart w:id="14" w:name="_MON_1231182722"/>
    <w:bookmarkStart w:id="15" w:name="_MON_1231182944"/>
    <w:bookmarkStart w:id="16" w:name="_MON_123118301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MON_1231184836"/>
    <w:bookmarkEnd w:id="17"/>
    <w:p w14:paraId="22714A8C" w14:textId="124EA73D" w:rsidR="00A5481A" w:rsidRPr="00FA1540" w:rsidRDefault="00A6023C" w:rsidP="00E325CF">
      <w:pPr>
        <w:ind w:left="-360" w:right="-180"/>
        <w:rPr>
          <w:sz w:val="16"/>
          <w:szCs w:val="16"/>
        </w:rPr>
      </w:pPr>
      <w:r w:rsidRPr="00D265BB">
        <w:object w:dxaOrig="14595" w:dyaOrig="2685" w14:anchorId="3CD1B2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729.65pt;height:134.35pt" o:ole="">
            <v:imagedata r:id="rId8" o:title=""/>
          </v:shape>
          <o:OLEObject Type="Embed" ProgID="Word.Document.8" ShapeID="_x0000_i1049" DrawAspect="Content" ObjectID="_1568693769" r:id="rId9">
            <o:FieldCodes>\s</o:FieldCodes>
          </o:OLEObject>
        </w:object>
      </w:r>
    </w:p>
    <w:tbl>
      <w:tblPr>
        <w:tblW w:w="1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
        <w:gridCol w:w="3510"/>
        <w:gridCol w:w="3420"/>
        <w:gridCol w:w="3330"/>
        <w:gridCol w:w="2610"/>
        <w:gridCol w:w="1206"/>
      </w:tblGrid>
      <w:tr w:rsidR="00BA340E" w:rsidRPr="00C02132" w14:paraId="4179C36F" w14:textId="77777777" w:rsidTr="00D133D7">
        <w:trPr>
          <w:tblHeade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D60030"/>
            <w:vAlign w:val="center"/>
          </w:tcPr>
          <w:p w14:paraId="6F45A922" w14:textId="77777777" w:rsidR="00BB0667" w:rsidRPr="00A6023C" w:rsidRDefault="00BB0667" w:rsidP="00A6023C">
            <w:pPr>
              <w:pStyle w:val="StyleAC-table-hed85ptWhiteCentered"/>
              <w:spacing w:before="0" w:line="240" w:lineRule="auto"/>
              <w:rPr>
                <w:rFonts w:ascii="Calibri" w:hAnsi="Calibri" w:cs="Calibri"/>
                <w:b/>
              </w:rPr>
            </w:pPr>
            <w:r w:rsidRPr="00A6023C">
              <w:rPr>
                <w:rFonts w:ascii="Calibri" w:hAnsi="Calibri" w:cs="Calibri"/>
                <w:b/>
              </w:rPr>
              <w:t>No.</w:t>
            </w:r>
          </w:p>
        </w:tc>
        <w:tc>
          <w:tcPr>
            <w:tcW w:w="3510" w:type="dxa"/>
            <w:tcBorders>
              <w:top w:val="single" w:sz="4" w:space="0" w:color="FF0000"/>
              <w:left w:val="single" w:sz="4" w:space="0" w:color="FF0000"/>
              <w:bottom w:val="single" w:sz="4" w:space="0" w:color="FF0000"/>
              <w:right w:val="single" w:sz="4" w:space="0" w:color="FF0000"/>
            </w:tcBorders>
            <w:shd w:val="clear" w:color="auto" w:fill="960022"/>
            <w:vAlign w:val="center"/>
          </w:tcPr>
          <w:p w14:paraId="5E767A1B" w14:textId="77777777" w:rsidR="00BB0667" w:rsidRPr="00A6023C" w:rsidRDefault="00BB0667" w:rsidP="00A6023C">
            <w:pPr>
              <w:pStyle w:val="AC-table-hed"/>
              <w:tabs>
                <w:tab w:val="clear" w:pos="5735"/>
                <w:tab w:val="clear" w:pos="7906"/>
                <w:tab w:val="clear" w:pos="10080"/>
              </w:tabs>
              <w:spacing w:line="240" w:lineRule="auto"/>
              <w:jc w:val="center"/>
              <w:rPr>
                <w:rFonts w:ascii="Calibri" w:hAnsi="Calibri" w:cs="Calibri"/>
                <w:b/>
                <w:color w:val="FFFFFF"/>
              </w:rPr>
            </w:pPr>
            <w:r w:rsidRPr="00A6023C">
              <w:rPr>
                <w:rFonts w:ascii="Calibri" w:hAnsi="Calibri" w:cs="Calibri"/>
                <w:b/>
                <w:color w:val="FFFFFF"/>
              </w:rPr>
              <w:t>Problem</w:t>
            </w:r>
          </w:p>
        </w:tc>
        <w:tc>
          <w:tcPr>
            <w:tcW w:w="3420" w:type="dxa"/>
            <w:tcBorders>
              <w:top w:val="single" w:sz="4" w:space="0" w:color="FF0000"/>
              <w:left w:val="single" w:sz="4" w:space="0" w:color="FF0000"/>
              <w:bottom w:val="single" w:sz="4" w:space="0" w:color="FF0000"/>
              <w:right w:val="single" w:sz="4" w:space="0" w:color="FF0000"/>
            </w:tcBorders>
            <w:shd w:val="clear" w:color="auto" w:fill="D60030"/>
            <w:vAlign w:val="center"/>
          </w:tcPr>
          <w:p w14:paraId="02374849" w14:textId="77777777" w:rsidR="00BB0667" w:rsidRPr="00A6023C" w:rsidRDefault="00BB0667" w:rsidP="00A6023C">
            <w:pPr>
              <w:pStyle w:val="AC-table-hed"/>
              <w:tabs>
                <w:tab w:val="clear" w:pos="5735"/>
                <w:tab w:val="clear" w:pos="7906"/>
                <w:tab w:val="clear" w:pos="10080"/>
              </w:tabs>
              <w:spacing w:line="240" w:lineRule="auto"/>
              <w:jc w:val="center"/>
              <w:rPr>
                <w:rFonts w:ascii="Calibri" w:hAnsi="Calibri" w:cs="Calibri"/>
                <w:b/>
                <w:color w:val="FFFFFF"/>
              </w:rPr>
            </w:pPr>
            <w:r w:rsidRPr="00A6023C">
              <w:rPr>
                <w:rFonts w:ascii="Calibri" w:hAnsi="Calibri" w:cs="Calibri"/>
                <w:b/>
                <w:color w:val="FFFFFF"/>
              </w:rPr>
              <w:t>Recommendation</w:t>
            </w:r>
          </w:p>
        </w:tc>
        <w:tc>
          <w:tcPr>
            <w:tcW w:w="3330" w:type="dxa"/>
            <w:tcBorders>
              <w:top w:val="single" w:sz="4" w:space="0" w:color="FF0000"/>
              <w:left w:val="single" w:sz="4" w:space="0" w:color="FF0000"/>
              <w:bottom w:val="single" w:sz="4" w:space="0" w:color="FF0000"/>
              <w:right w:val="single" w:sz="4" w:space="0" w:color="FF0000"/>
            </w:tcBorders>
            <w:shd w:val="clear" w:color="auto" w:fill="960022"/>
            <w:vAlign w:val="center"/>
          </w:tcPr>
          <w:p w14:paraId="1DDCD045" w14:textId="77777777" w:rsidR="00BB0667" w:rsidRPr="00A6023C" w:rsidRDefault="00BB0667" w:rsidP="00A6023C">
            <w:pPr>
              <w:pStyle w:val="AC-table-hed"/>
              <w:tabs>
                <w:tab w:val="clear" w:pos="5735"/>
                <w:tab w:val="clear" w:pos="7906"/>
                <w:tab w:val="clear" w:pos="10080"/>
              </w:tabs>
              <w:spacing w:line="240" w:lineRule="auto"/>
              <w:jc w:val="center"/>
              <w:rPr>
                <w:rFonts w:ascii="Calibri" w:hAnsi="Calibri" w:cs="Calibri"/>
                <w:b/>
                <w:color w:val="FFFFFF"/>
              </w:rPr>
            </w:pPr>
            <w:r w:rsidRPr="00A6023C">
              <w:rPr>
                <w:rFonts w:ascii="Calibri" w:hAnsi="Calibri" w:cs="Calibri"/>
                <w:b/>
                <w:color w:val="FFFFFF"/>
              </w:rPr>
              <w:t>Organization Assessment</w:t>
            </w:r>
          </w:p>
        </w:tc>
        <w:tc>
          <w:tcPr>
            <w:tcW w:w="2610" w:type="dxa"/>
            <w:tcBorders>
              <w:top w:val="single" w:sz="4" w:space="0" w:color="FF0000"/>
              <w:left w:val="single" w:sz="4" w:space="0" w:color="FF0000"/>
              <w:bottom w:val="single" w:sz="4" w:space="0" w:color="FF0000"/>
              <w:right w:val="single" w:sz="4" w:space="0" w:color="FF0000"/>
            </w:tcBorders>
            <w:shd w:val="clear" w:color="auto" w:fill="D60030"/>
          </w:tcPr>
          <w:p w14:paraId="3B2E9FF1" w14:textId="77777777" w:rsidR="00BB0667" w:rsidRPr="00491DD2" w:rsidRDefault="00BB0667" w:rsidP="00A6023C">
            <w:pPr>
              <w:pStyle w:val="AC-table-hed"/>
              <w:tabs>
                <w:tab w:val="clear" w:pos="5735"/>
                <w:tab w:val="clear" w:pos="7906"/>
                <w:tab w:val="clear" w:pos="10080"/>
              </w:tabs>
              <w:jc w:val="center"/>
              <w:rPr>
                <w:rFonts w:ascii="Univers LT Std 57 Cn" w:hAnsi="Univers LT Std 57 Cn"/>
                <w:b/>
                <w:color w:val="FFFFFF"/>
              </w:rPr>
            </w:pPr>
            <w:r w:rsidRPr="00491DD2">
              <w:rPr>
                <w:rFonts w:ascii="Univers LT Std 57 Cn" w:hAnsi="Univers LT Std 57 Cn"/>
                <w:b/>
                <w:color w:val="FFFFFF"/>
              </w:rPr>
              <w:t>Action Required/</w:t>
            </w:r>
            <w:r w:rsidR="008219D3" w:rsidRPr="00491DD2">
              <w:rPr>
                <w:rFonts w:ascii="Univers LT Std 57 Cn" w:hAnsi="Univers LT Std 57 Cn"/>
                <w:b/>
                <w:color w:val="FFFFFF"/>
              </w:rPr>
              <w:t xml:space="preserve"> </w:t>
            </w:r>
            <w:r w:rsidRPr="00491DD2">
              <w:rPr>
                <w:rFonts w:ascii="Univers LT Std 57 Cn" w:hAnsi="Univers LT Std 57 Cn"/>
                <w:b/>
                <w:color w:val="FFFFFF"/>
              </w:rPr>
              <w:t>Assignment</w:t>
            </w:r>
          </w:p>
        </w:tc>
        <w:tc>
          <w:tcPr>
            <w:tcW w:w="1206" w:type="dxa"/>
            <w:tcBorders>
              <w:top w:val="single" w:sz="4" w:space="0" w:color="FF0000"/>
              <w:left w:val="single" w:sz="4" w:space="0" w:color="FF0000"/>
              <w:bottom w:val="single" w:sz="4" w:space="0" w:color="FF0000"/>
              <w:right w:val="single" w:sz="4" w:space="0" w:color="FF0000"/>
            </w:tcBorders>
            <w:shd w:val="clear" w:color="auto" w:fill="960022"/>
          </w:tcPr>
          <w:p w14:paraId="06BAA5DD" w14:textId="77777777" w:rsidR="00BB0667" w:rsidRPr="00491DD2" w:rsidRDefault="00BB0667" w:rsidP="00A6023C">
            <w:pPr>
              <w:pStyle w:val="AC-table-hed"/>
              <w:tabs>
                <w:tab w:val="clear" w:pos="5735"/>
                <w:tab w:val="clear" w:pos="7906"/>
                <w:tab w:val="clear" w:pos="10080"/>
              </w:tabs>
              <w:jc w:val="center"/>
              <w:rPr>
                <w:rFonts w:ascii="Univers LT Std 57 Cn" w:hAnsi="Univers LT Std 57 Cn"/>
                <w:b/>
                <w:color w:val="FFFFFF"/>
                <w:sz w:val="14"/>
                <w:szCs w:val="14"/>
              </w:rPr>
            </w:pPr>
            <w:r w:rsidRPr="00491DD2">
              <w:rPr>
                <w:rFonts w:ascii="Univers LT Std 57 Cn" w:hAnsi="Univers LT Std 57 Cn"/>
                <w:b/>
                <w:color w:val="FFFFFF"/>
                <w:sz w:val="14"/>
                <w:szCs w:val="14"/>
              </w:rPr>
              <w:t>Date Completed</w:t>
            </w:r>
          </w:p>
        </w:tc>
      </w:tr>
      <w:tr w:rsidR="00526783" w:rsidRPr="00473B6D" w14:paraId="222F27FF"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774B6358" w14:textId="77777777" w:rsidR="00526783" w:rsidRPr="00A6023C" w:rsidRDefault="004967DF" w:rsidP="00A6023C">
            <w:pPr>
              <w:pStyle w:val="AGENDA-table-titles"/>
              <w:tabs>
                <w:tab w:val="clear" w:pos="5735"/>
                <w:tab w:val="clear" w:pos="7906"/>
                <w:tab w:val="clear" w:pos="10080"/>
              </w:tabs>
              <w:spacing w:line="240" w:lineRule="auto"/>
              <w:rPr>
                <w:rFonts w:ascii="Calibri" w:hAnsi="Calibri" w:cs="Calibri"/>
              </w:rPr>
            </w:pPr>
            <w:r w:rsidRPr="00A6023C">
              <w:rPr>
                <w:rFonts w:ascii="Calibri" w:hAnsi="Calibri" w:cs="Calibri"/>
              </w:rPr>
              <w:t>VYXEOS cannot be interchanged with other DAUNOrubicin- and/or cytarabine-containing products</w:t>
            </w:r>
          </w:p>
        </w:tc>
      </w:tr>
      <w:tr w:rsidR="004967DF" w:rsidRPr="00C02132" w14:paraId="78C27A2F" w14:textId="77777777" w:rsidTr="00D133D7">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061E3363" w14:textId="77777777" w:rsidR="00F8063D" w:rsidRPr="00A6023C" w:rsidRDefault="004967DF" w:rsidP="00A6023C">
            <w:pPr>
              <w:pStyle w:val="AGENDA-body"/>
              <w:spacing w:line="240" w:lineRule="auto"/>
              <w:rPr>
                <w:rFonts w:ascii="Calibri" w:hAnsi="Calibri" w:cs="Calibri"/>
              </w:rPr>
            </w:pPr>
            <w:r w:rsidRPr="00A6023C">
              <w:rPr>
                <w:rFonts w:ascii="Calibri" w:hAnsi="Calibri" w:cs="Calibri"/>
                <w:spacing w:val="-2"/>
              </w:rPr>
              <w:t>(16)</w:t>
            </w:r>
            <w:r w:rsidR="00F8063D" w:rsidRPr="00A6023C">
              <w:rPr>
                <w:rFonts w:ascii="Calibri" w:hAnsi="Calibri" w:cs="Calibri"/>
              </w:rPr>
              <w:t xml:space="preserve"> </w:t>
            </w:r>
          </w:p>
          <w:p w14:paraId="4FA616F5" w14:textId="77777777" w:rsidR="004967DF" w:rsidRPr="00A6023C" w:rsidRDefault="00F8063D" w:rsidP="00A6023C">
            <w:pPr>
              <w:pStyle w:val="HEADLINE"/>
              <w:suppressAutoHyphens w:val="0"/>
              <w:spacing w:line="240" w:lineRule="auto"/>
              <w:rPr>
                <w:rFonts w:ascii="Calibri" w:eastAsia="Univers LT Std 57 Cn" w:hAnsi="Calibri" w:cs="Calibri"/>
                <w:b w:val="0"/>
                <w:w w:val="99"/>
                <w:sz w:val="20"/>
              </w:rPr>
            </w:pPr>
            <w:r w:rsidRPr="00A6023C">
              <w:rPr>
                <w:rFonts w:ascii="Calibri" w:hAnsi="Calibri" w:cs="Calibri"/>
                <w:noProof/>
                <w:lang w:bidi="ar-SA"/>
              </w:rPr>
              <w:drawing>
                <wp:inline distT="0" distB="0" distL="0" distR="0" wp14:anchorId="53C908F4" wp14:editId="62696BF4">
                  <wp:extent cx="152387" cy="1219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510" w:type="dxa"/>
            <w:tcBorders>
              <w:top w:val="single" w:sz="4" w:space="0" w:color="FF0000"/>
              <w:left w:val="single" w:sz="4" w:space="0" w:color="FF0000"/>
              <w:bottom w:val="single" w:sz="4" w:space="0" w:color="FF0000"/>
              <w:right w:val="single" w:sz="4" w:space="0" w:color="FF0000"/>
            </w:tcBorders>
            <w:shd w:val="clear" w:color="auto" w:fill="FFF3D6"/>
          </w:tcPr>
          <w:p w14:paraId="31CBA579" w14:textId="77777777" w:rsidR="004967DF" w:rsidRPr="00A6023C" w:rsidRDefault="004967DF" w:rsidP="00A6023C">
            <w:pPr>
              <w:pStyle w:val="HEADLINE"/>
              <w:suppressAutoHyphens w:val="0"/>
              <w:spacing w:line="240" w:lineRule="auto"/>
              <w:rPr>
                <w:rFonts w:ascii="Calibri" w:eastAsia="Univers LT Std 57 Cn" w:hAnsi="Calibri" w:cs="Calibri"/>
                <w:b w:val="0"/>
                <w:spacing w:val="-4"/>
                <w:sz w:val="20"/>
              </w:rPr>
            </w:pPr>
            <w:r w:rsidRPr="00A6023C">
              <w:rPr>
                <w:rFonts w:ascii="Calibri" w:eastAsia="Univers LT Std 57 Cn" w:hAnsi="Calibri" w:cs="Calibri"/>
                <w:b w:val="0"/>
                <w:spacing w:val="-4"/>
                <w:sz w:val="20"/>
              </w:rPr>
              <w:t xml:space="preserve">Vyxeos, a fixed-combination liposomal formulation of </w:t>
            </w:r>
            <w:r w:rsidRPr="00A6023C">
              <w:rPr>
                <w:rFonts w:ascii="Calibri" w:eastAsia="Univers LT Std 57 Cn" w:hAnsi="Calibri" w:cs="Calibri"/>
                <w:spacing w:val="-4"/>
                <w:sz w:val="20"/>
              </w:rPr>
              <w:t>DAUNO</w:t>
            </w:r>
            <w:r w:rsidRPr="00A6023C">
              <w:rPr>
                <w:rFonts w:ascii="Calibri" w:eastAsia="Univers LT Std 57 Cn" w:hAnsi="Calibri" w:cs="Calibri"/>
                <w:b w:val="0"/>
                <w:spacing w:val="-4"/>
                <w:sz w:val="20"/>
              </w:rPr>
              <w:t xml:space="preserve">rubicin and cytarabine, is different from other single entity </w:t>
            </w:r>
            <w:r w:rsidRPr="00A6023C">
              <w:rPr>
                <w:rFonts w:ascii="Calibri" w:eastAsia="Univers LT Std 57 Cn" w:hAnsi="Calibri" w:cs="Calibri"/>
                <w:spacing w:val="-4"/>
                <w:sz w:val="20"/>
              </w:rPr>
              <w:t>DAUNO</w:t>
            </w:r>
            <w:r w:rsidRPr="00A6023C">
              <w:rPr>
                <w:rFonts w:ascii="Calibri" w:eastAsia="Univers LT Std 57 Cn" w:hAnsi="Calibri" w:cs="Calibri"/>
                <w:b w:val="0"/>
                <w:spacing w:val="-4"/>
                <w:sz w:val="20"/>
              </w:rPr>
              <w:t xml:space="preserve">rubicin and cytarabine products that are often used together. Vyxeos has entirely different dosing recommendations than </w:t>
            </w:r>
            <w:r w:rsidRPr="00A6023C">
              <w:rPr>
                <w:rFonts w:ascii="Calibri" w:eastAsia="Univers LT Std 57 Cn" w:hAnsi="Calibri" w:cs="Calibri"/>
                <w:spacing w:val="-4"/>
                <w:sz w:val="20"/>
              </w:rPr>
              <w:t>DAUNO</w:t>
            </w:r>
            <w:r w:rsidRPr="00A6023C">
              <w:rPr>
                <w:rFonts w:ascii="Calibri" w:eastAsia="Univers LT Std 57 Cn" w:hAnsi="Calibri" w:cs="Calibri"/>
                <w:b w:val="0"/>
                <w:spacing w:val="-4"/>
                <w:sz w:val="20"/>
              </w:rPr>
              <w:t xml:space="preserve">rubicin hydrochloride injection, cytarabine injection, </w:t>
            </w:r>
            <w:r w:rsidRPr="00A6023C">
              <w:rPr>
                <w:rFonts w:ascii="Calibri" w:eastAsia="Univers LT Std 57 Cn" w:hAnsi="Calibri" w:cs="Calibri"/>
                <w:spacing w:val="-4"/>
                <w:sz w:val="20"/>
              </w:rPr>
              <w:t>DAUNO</w:t>
            </w:r>
            <w:r w:rsidRPr="00A6023C">
              <w:rPr>
                <w:rFonts w:ascii="Calibri" w:eastAsia="Univers LT Std 57 Cn" w:hAnsi="Calibri" w:cs="Calibri"/>
                <w:b w:val="0"/>
                <w:spacing w:val="-4"/>
                <w:sz w:val="20"/>
              </w:rPr>
              <w:t>rubicin citrate liposome injection, and cytarabine liposome injection.</w:t>
            </w:r>
          </w:p>
          <w:p w14:paraId="6C97DF15" w14:textId="77777777" w:rsidR="008929D4" w:rsidRPr="00A6023C" w:rsidRDefault="008929D4" w:rsidP="00A6023C">
            <w:pPr>
              <w:pStyle w:val="HEADLINE"/>
              <w:suppressAutoHyphens w:val="0"/>
              <w:spacing w:line="240" w:lineRule="auto"/>
              <w:rPr>
                <w:rFonts w:ascii="Calibri" w:eastAsia="Univers LT Std 57 Cn" w:hAnsi="Calibri" w:cs="Calibri"/>
                <w:b w:val="0"/>
                <w:spacing w:val="-4"/>
                <w:sz w:val="20"/>
              </w:rPr>
            </w:pPr>
          </w:p>
        </w:tc>
        <w:tc>
          <w:tcPr>
            <w:tcW w:w="3420" w:type="dxa"/>
            <w:tcBorders>
              <w:top w:val="single" w:sz="4" w:space="0" w:color="FF0000"/>
              <w:left w:val="single" w:sz="4" w:space="0" w:color="FF0000"/>
              <w:bottom w:val="single" w:sz="4" w:space="0" w:color="FF0000"/>
              <w:right w:val="single" w:sz="4" w:space="0" w:color="FF0000"/>
            </w:tcBorders>
            <w:shd w:val="clear" w:color="auto" w:fill="F0EBD3"/>
          </w:tcPr>
          <w:p w14:paraId="19561773" w14:textId="77777777" w:rsidR="004967DF" w:rsidRPr="00A6023C" w:rsidRDefault="004967DF" w:rsidP="00A6023C">
            <w:pPr>
              <w:pStyle w:val="HEADLINE"/>
              <w:suppressAutoHyphens w:val="0"/>
              <w:spacing w:line="240" w:lineRule="auto"/>
              <w:rPr>
                <w:rFonts w:ascii="Calibri" w:eastAsia="Univers LT Std 57 Cn" w:hAnsi="Calibri" w:cs="Calibri"/>
                <w:b w:val="0"/>
                <w:w w:val="99"/>
                <w:sz w:val="20"/>
              </w:rPr>
            </w:pPr>
            <w:r w:rsidRPr="00A6023C">
              <w:rPr>
                <w:rFonts w:ascii="Calibri" w:eastAsia="Univers LT Std 57 Cn" w:hAnsi="Calibri" w:cs="Calibri"/>
                <w:b w:val="0"/>
                <w:sz w:val="20"/>
              </w:rPr>
              <w:t xml:space="preserve">Do not interchange other </w:t>
            </w:r>
            <w:r w:rsidRPr="00A6023C">
              <w:rPr>
                <w:rFonts w:ascii="Calibri" w:eastAsia="Univers LT Std 57 Cn" w:hAnsi="Calibri" w:cs="Calibri"/>
                <w:sz w:val="20"/>
              </w:rPr>
              <w:t>DAUNO</w:t>
            </w:r>
            <w:r w:rsidRPr="00A6023C">
              <w:rPr>
                <w:rFonts w:ascii="Calibri" w:eastAsia="Univers LT Std 57 Cn" w:hAnsi="Calibri" w:cs="Calibri"/>
                <w:b w:val="0"/>
                <w:sz w:val="20"/>
              </w:rPr>
              <w:t>rubicin</w:t>
            </w:r>
            <w:r w:rsidRPr="00A6023C">
              <w:rPr>
                <w:rFonts w:ascii="Calibri" w:eastAsia="Univers LT Std 57 Cn" w:hAnsi="Calibri" w:cs="Calibri"/>
                <w:sz w:val="20"/>
              </w:rPr>
              <w:t xml:space="preserve"> </w:t>
            </w:r>
            <w:r w:rsidRPr="00A6023C">
              <w:rPr>
                <w:rFonts w:ascii="Calibri" w:eastAsia="Univers LT Std 57 Cn" w:hAnsi="Calibri" w:cs="Calibri"/>
                <w:b w:val="0"/>
                <w:sz w:val="20"/>
              </w:rPr>
              <w:t xml:space="preserve">and/or cytarabine products for Vyxeos. Verify the drug name and dose prior to preparation and administration. Create an order set for dosing Vyxeos based on the patient’s body surface area (BSA) and the </w:t>
            </w:r>
            <w:r w:rsidRPr="00A6023C">
              <w:rPr>
                <w:rFonts w:ascii="Calibri" w:eastAsia="Univers LT Std 57 Cn" w:hAnsi="Calibri" w:cs="Calibri"/>
                <w:sz w:val="20"/>
              </w:rPr>
              <w:t>DAUNO</w:t>
            </w:r>
            <w:r w:rsidRPr="00A6023C">
              <w:rPr>
                <w:rFonts w:ascii="Calibri" w:eastAsia="Univers LT Std 57 Cn" w:hAnsi="Calibri" w:cs="Calibri"/>
                <w:b w:val="0"/>
                <w:sz w:val="20"/>
              </w:rPr>
              <w:t>rubicin component (the corresponding cytarabine dose is included). Calculate the patient’s lifetime cumulative anthracycline exposure to be sure the lifetime cumulative limit has no</w:t>
            </w:r>
            <w:r w:rsidRPr="00A6023C">
              <w:rPr>
                <w:rFonts w:ascii="Calibri" w:eastAsia="Univers LT Std 57 Cn" w:hAnsi="Calibri" w:cs="Calibri"/>
                <w:b w:val="0"/>
                <w:spacing w:val="-2"/>
                <w:sz w:val="20"/>
              </w:rPr>
              <w:t xml:space="preserve">t been met. </w:t>
            </w:r>
          </w:p>
        </w:tc>
        <w:tc>
          <w:tcPr>
            <w:tcW w:w="3330" w:type="dxa"/>
            <w:tcBorders>
              <w:top w:val="single" w:sz="4" w:space="0" w:color="FF0000"/>
              <w:left w:val="single" w:sz="4" w:space="0" w:color="FF0000"/>
              <w:bottom w:val="single" w:sz="4" w:space="0" w:color="FF0000"/>
              <w:right w:val="single" w:sz="4" w:space="0" w:color="FF0000"/>
            </w:tcBorders>
          </w:tcPr>
          <w:p w14:paraId="16CE6322" w14:textId="77777777" w:rsidR="004967DF" w:rsidRPr="00A6023C" w:rsidRDefault="004967DF" w:rsidP="00A6023C">
            <w:pPr>
              <w:pStyle w:val="AC-table-body"/>
              <w:tabs>
                <w:tab w:val="clear" w:pos="5735"/>
                <w:tab w:val="clear" w:pos="7906"/>
                <w:tab w:val="clear" w:pos="10080"/>
              </w:tabs>
              <w:spacing w:line="240" w:lineRule="auto"/>
              <w:rPr>
                <w:rFonts w:ascii="Calibri" w:hAnsi="Calibri" w:cs="Calibri"/>
              </w:rPr>
            </w:pPr>
            <w:r w:rsidRPr="00A6023C">
              <w:rPr>
                <w:rFonts w:ascii="Calibri" w:hAnsi="Calibri" w:cs="Calibri"/>
              </w:rPr>
              <w:t xml:space="preserve"> </w:t>
            </w:r>
          </w:p>
        </w:tc>
        <w:tc>
          <w:tcPr>
            <w:tcW w:w="2610" w:type="dxa"/>
            <w:tcBorders>
              <w:top w:val="single" w:sz="4" w:space="0" w:color="FF0000"/>
              <w:left w:val="single" w:sz="4" w:space="0" w:color="FF0000"/>
              <w:bottom w:val="single" w:sz="4" w:space="0" w:color="FF0000"/>
              <w:right w:val="single" w:sz="4" w:space="0" w:color="FF0000"/>
            </w:tcBorders>
          </w:tcPr>
          <w:p w14:paraId="06BDC65A" w14:textId="77777777" w:rsidR="004967DF" w:rsidRPr="00C02132" w:rsidRDefault="004967DF" w:rsidP="00A6023C">
            <w:pPr>
              <w:pStyle w:val="AC-table-body"/>
              <w:tabs>
                <w:tab w:val="clear" w:pos="5735"/>
                <w:tab w:val="clear" w:pos="7906"/>
                <w:tab w:val="clear" w:pos="10080"/>
              </w:tabs>
            </w:pPr>
          </w:p>
        </w:tc>
        <w:tc>
          <w:tcPr>
            <w:tcW w:w="1206" w:type="dxa"/>
            <w:tcBorders>
              <w:top w:val="single" w:sz="4" w:space="0" w:color="FF0000"/>
              <w:left w:val="single" w:sz="4" w:space="0" w:color="FF0000"/>
              <w:bottom w:val="single" w:sz="4" w:space="0" w:color="FF0000"/>
              <w:right w:val="single" w:sz="4" w:space="0" w:color="FF0000"/>
            </w:tcBorders>
          </w:tcPr>
          <w:p w14:paraId="396F2A9C" w14:textId="77777777" w:rsidR="004967DF" w:rsidRPr="00C02132" w:rsidRDefault="004967DF" w:rsidP="00A6023C">
            <w:pPr>
              <w:pStyle w:val="AC-table-body"/>
              <w:tabs>
                <w:tab w:val="clear" w:pos="5735"/>
                <w:tab w:val="clear" w:pos="7906"/>
                <w:tab w:val="clear" w:pos="10080"/>
              </w:tabs>
            </w:pPr>
          </w:p>
        </w:tc>
      </w:tr>
      <w:tr w:rsidR="00526783" w:rsidRPr="00C02132" w14:paraId="56AB3431"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57D66345" w14:textId="77777777" w:rsidR="00526783" w:rsidRPr="00A6023C" w:rsidRDefault="0035710B" w:rsidP="00A6023C">
            <w:pPr>
              <w:pStyle w:val="AGENDA-table-titles"/>
              <w:spacing w:line="240" w:lineRule="auto"/>
              <w:rPr>
                <w:rFonts w:ascii="Calibri" w:hAnsi="Calibri" w:cs="Calibri"/>
              </w:rPr>
            </w:pPr>
            <w:r w:rsidRPr="00A6023C">
              <w:rPr>
                <w:rFonts w:ascii="Calibri" w:hAnsi="Calibri" w:cs="Calibri"/>
              </w:rPr>
              <w:t>Mix-ups between ADRENALIN (EPINEPHrine) injection and ADRENALIN chloride nasal solution</w:t>
            </w:r>
          </w:p>
        </w:tc>
      </w:tr>
      <w:tr w:rsidR="00EB52FA" w:rsidRPr="00C02132" w14:paraId="059DE203" w14:textId="77777777" w:rsidTr="00D133D7">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00FE2BBF" w14:textId="77777777" w:rsidR="00EB52FA" w:rsidRPr="00A6023C" w:rsidRDefault="00EB52FA" w:rsidP="00A6023C">
            <w:pPr>
              <w:pStyle w:val="AGENDA-body"/>
              <w:spacing w:line="240" w:lineRule="auto"/>
              <w:rPr>
                <w:rFonts w:ascii="Calibri" w:hAnsi="Calibri" w:cs="Calibri"/>
              </w:rPr>
            </w:pPr>
            <w:r w:rsidRPr="00A6023C">
              <w:rPr>
                <w:rFonts w:ascii="Calibri" w:hAnsi="Calibri" w:cs="Calibri"/>
              </w:rPr>
              <w:t>(17)</w:t>
            </w:r>
            <w:r w:rsidRPr="00A6023C">
              <w:rPr>
                <w:rFonts w:ascii="Calibri" w:eastAsia="Akzidenz Grotesk BE Cn" w:hAnsi="Calibri" w:cs="Calibri"/>
              </w:rPr>
              <w:t xml:space="preserve"> </w:t>
            </w:r>
          </w:p>
          <w:p w14:paraId="31E1001A" w14:textId="77777777" w:rsidR="00EB52FA" w:rsidRPr="00A6023C" w:rsidRDefault="00EB52FA" w:rsidP="00A6023C">
            <w:pPr>
              <w:pStyle w:val="AGENDA-body"/>
              <w:tabs>
                <w:tab w:val="clear" w:pos="5735"/>
                <w:tab w:val="clear" w:pos="7906"/>
                <w:tab w:val="clear" w:pos="10080"/>
              </w:tabs>
              <w:spacing w:line="240" w:lineRule="auto"/>
              <w:rPr>
                <w:rFonts w:ascii="Calibri" w:hAnsi="Calibri" w:cs="Calibri"/>
              </w:rPr>
            </w:pPr>
            <w:r w:rsidRPr="00A6023C">
              <w:rPr>
                <w:rFonts w:ascii="Calibri" w:hAnsi="Calibri" w:cs="Calibri"/>
                <w:noProof/>
                <w:lang w:bidi="ar-SA"/>
              </w:rPr>
              <w:drawing>
                <wp:inline distT="0" distB="0" distL="0" distR="0" wp14:anchorId="015F5E64" wp14:editId="42B4C146">
                  <wp:extent cx="152387" cy="12191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510" w:type="dxa"/>
            <w:tcBorders>
              <w:top w:val="single" w:sz="4" w:space="0" w:color="FF0000"/>
              <w:left w:val="single" w:sz="4" w:space="0" w:color="FF0000"/>
              <w:bottom w:val="single" w:sz="4" w:space="0" w:color="FF0000"/>
              <w:right w:val="single" w:sz="4" w:space="0" w:color="FF0000"/>
            </w:tcBorders>
            <w:shd w:val="clear" w:color="auto" w:fill="FFF3D6"/>
          </w:tcPr>
          <w:p w14:paraId="1FCDA463" w14:textId="77777777" w:rsidR="00EB52FA" w:rsidRPr="00A6023C" w:rsidRDefault="00EB52FA" w:rsidP="00A6023C">
            <w:pPr>
              <w:pStyle w:val="HEADLINE"/>
              <w:suppressAutoHyphens w:val="0"/>
              <w:spacing w:line="240" w:lineRule="auto"/>
              <w:rPr>
                <w:rFonts w:ascii="Calibri" w:eastAsia="Univers LT Std 57 Cn" w:hAnsi="Calibri" w:cs="Calibri"/>
                <w:b w:val="0"/>
                <w:spacing w:val="-2"/>
                <w:sz w:val="19"/>
                <w:szCs w:val="19"/>
              </w:rPr>
            </w:pPr>
            <w:r w:rsidRPr="00A6023C">
              <w:rPr>
                <w:rFonts w:ascii="Calibri" w:eastAsia="Univers LT Std 57 Cn" w:hAnsi="Calibri" w:cs="Calibri"/>
                <w:b w:val="0"/>
                <w:spacing w:val="-2"/>
                <w:sz w:val="19"/>
                <w:szCs w:val="19"/>
              </w:rPr>
              <w:t>Mix-ups between Adrenalin chloride nasal solution and Adrenalin injection have been reported, including stocking crash carts with the nasal solution. The errors have been related to look-alike packaging and prominence of the brand name on packages. The two solutions have different inert ingredients and are not interchangeable. When the nasal solution vial cap is removed, a pull-off tab is exposed with a rubber stopper underneath that can allow withdrawal of the topical solution with a needle/syringe, just like an injectable product.</w:t>
            </w:r>
          </w:p>
          <w:p w14:paraId="2F283F1F" w14:textId="77777777" w:rsidR="008929D4" w:rsidRPr="00A6023C" w:rsidRDefault="008929D4" w:rsidP="00A6023C">
            <w:pPr>
              <w:pStyle w:val="HEADLINE"/>
              <w:suppressAutoHyphens w:val="0"/>
              <w:spacing w:line="240" w:lineRule="auto"/>
              <w:rPr>
                <w:rFonts w:ascii="Calibri" w:eastAsia="Univers LT Std 57 Cn" w:hAnsi="Calibri" w:cs="Calibri"/>
                <w:b w:val="0"/>
                <w:spacing w:val="-2"/>
                <w:sz w:val="19"/>
                <w:szCs w:val="19"/>
              </w:rPr>
            </w:pPr>
          </w:p>
        </w:tc>
        <w:tc>
          <w:tcPr>
            <w:tcW w:w="3420" w:type="dxa"/>
            <w:tcBorders>
              <w:top w:val="single" w:sz="4" w:space="0" w:color="FF0000"/>
              <w:left w:val="single" w:sz="4" w:space="0" w:color="FF0000"/>
              <w:bottom w:val="single" w:sz="4" w:space="0" w:color="FF0000"/>
              <w:right w:val="single" w:sz="4" w:space="0" w:color="FF0000"/>
            </w:tcBorders>
            <w:shd w:val="clear" w:color="auto" w:fill="F0EBD3"/>
          </w:tcPr>
          <w:p w14:paraId="360A5F97" w14:textId="77777777" w:rsidR="00EB52FA" w:rsidRPr="00A6023C" w:rsidRDefault="00EB52FA" w:rsidP="00A6023C">
            <w:pPr>
              <w:pStyle w:val="HEADLINE"/>
              <w:suppressAutoHyphens w:val="0"/>
              <w:spacing w:line="240" w:lineRule="auto"/>
              <w:rPr>
                <w:rFonts w:ascii="Calibri" w:eastAsia="Univers LT Std 57 Cn" w:hAnsi="Calibri" w:cs="Calibri"/>
                <w:b w:val="0"/>
                <w:spacing w:val="-2"/>
                <w:sz w:val="19"/>
                <w:szCs w:val="19"/>
              </w:rPr>
            </w:pPr>
            <w:r w:rsidRPr="00A6023C">
              <w:rPr>
                <w:rFonts w:ascii="Calibri" w:eastAsia="Univers LT Std 57 Cn" w:hAnsi="Calibri" w:cs="Calibri"/>
                <w:b w:val="0"/>
                <w:spacing w:val="-2"/>
                <w:sz w:val="19"/>
                <w:szCs w:val="19"/>
              </w:rPr>
              <w:t xml:space="preserve">Routine storage of 30 mL vials of </w:t>
            </w:r>
            <w:r w:rsidRPr="00A6023C">
              <w:rPr>
                <w:rFonts w:ascii="Calibri" w:eastAsia="Univers LT Std 57 Cn" w:hAnsi="Calibri" w:cs="Calibri"/>
                <w:spacing w:val="-2"/>
                <w:sz w:val="19"/>
                <w:szCs w:val="19"/>
              </w:rPr>
              <w:t>EPINEPH</w:t>
            </w:r>
            <w:r w:rsidRPr="00A6023C">
              <w:rPr>
                <w:rFonts w:ascii="Calibri" w:eastAsia="Univers LT Std 57 Cn" w:hAnsi="Calibri" w:cs="Calibri"/>
                <w:b w:val="0"/>
                <w:spacing w:val="-2"/>
                <w:sz w:val="19"/>
                <w:szCs w:val="19"/>
              </w:rPr>
              <w:t xml:space="preserve">rine outside the pharmacy should be avoided when possible. If vials of the nasal solution, which are only available in 30 mL containers, are necessary </w:t>
            </w:r>
            <w:proofErr w:type="gramStart"/>
            <w:r w:rsidRPr="00A6023C">
              <w:rPr>
                <w:rFonts w:ascii="Calibri" w:eastAsia="Univers LT Std 57 Cn" w:hAnsi="Calibri" w:cs="Calibri"/>
                <w:b w:val="0"/>
                <w:spacing w:val="-2"/>
                <w:sz w:val="19"/>
                <w:szCs w:val="19"/>
              </w:rPr>
              <w:t>in patient</w:t>
            </w:r>
            <w:proofErr w:type="gramEnd"/>
            <w:r w:rsidRPr="00A6023C">
              <w:rPr>
                <w:rFonts w:ascii="Calibri" w:eastAsia="Univers LT Std 57 Cn" w:hAnsi="Calibri" w:cs="Calibri"/>
                <w:b w:val="0"/>
                <w:spacing w:val="-2"/>
                <w:sz w:val="19"/>
                <w:szCs w:val="19"/>
              </w:rPr>
              <w:t xml:space="preserve"> care units, consider affixing a large “external use only” auxiliary label to reinforce proper use. Barcode scanning at the point-of-care can also help detect wrong product errors before they reach patients.</w:t>
            </w:r>
          </w:p>
        </w:tc>
        <w:tc>
          <w:tcPr>
            <w:tcW w:w="3330" w:type="dxa"/>
            <w:tcBorders>
              <w:top w:val="single" w:sz="4" w:space="0" w:color="FF0000"/>
              <w:left w:val="single" w:sz="4" w:space="0" w:color="FF0000"/>
              <w:bottom w:val="single" w:sz="4" w:space="0" w:color="FF0000"/>
              <w:right w:val="single" w:sz="4" w:space="0" w:color="FF0000"/>
            </w:tcBorders>
          </w:tcPr>
          <w:p w14:paraId="47020573" w14:textId="77777777" w:rsidR="00EB52FA" w:rsidRPr="00A6023C" w:rsidRDefault="00EB52FA" w:rsidP="00A6023C">
            <w:pPr>
              <w:pStyle w:val="AC-table-body"/>
              <w:tabs>
                <w:tab w:val="clear" w:pos="5735"/>
                <w:tab w:val="clear" w:pos="7906"/>
                <w:tab w:val="clear" w:pos="10080"/>
              </w:tabs>
              <w:spacing w:line="240" w:lineRule="auto"/>
              <w:rPr>
                <w:rFonts w:ascii="Calibri" w:hAnsi="Calibri" w:cs="Calibri"/>
              </w:rPr>
            </w:pPr>
          </w:p>
        </w:tc>
        <w:tc>
          <w:tcPr>
            <w:tcW w:w="2610" w:type="dxa"/>
            <w:tcBorders>
              <w:top w:val="single" w:sz="4" w:space="0" w:color="FF0000"/>
              <w:left w:val="single" w:sz="4" w:space="0" w:color="FF0000"/>
              <w:bottom w:val="single" w:sz="4" w:space="0" w:color="FF0000"/>
              <w:right w:val="single" w:sz="4" w:space="0" w:color="FF0000"/>
            </w:tcBorders>
          </w:tcPr>
          <w:p w14:paraId="3397E9FD" w14:textId="77777777" w:rsidR="00EB52FA" w:rsidRPr="00C02132" w:rsidRDefault="00EB52FA" w:rsidP="00A6023C">
            <w:pPr>
              <w:pStyle w:val="AC-table-body"/>
              <w:tabs>
                <w:tab w:val="clear" w:pos="5735"/>
                <w:tab w:val="clear" w:pos="7906"/>
                <w:tab w:val="clear" w:pos="10080"/>
              </w:tabs>
            </w:pPr>
          </w:p>
        </w:tc>
        <w:tc>
          <w:tcPr>
            <w:tcW w:w="1206" w:type="dxa"/>
            <w:tcBorders>
              <w:top w:val="single" w:sz="4" w:space="0" w:color="FF0000"/>
              <w:left w:val="single" w:sz="4" w:space="0" w:color="FF0000"/>
              <w:bottom w:val="single" w:sz="4" w:space="0" w:color="FF0000"/>
              <w:right w:val="single" w:sz="4" w:space="0" w:color="FF0000"/>
            </w:tcBorders>
          </w:tcPr>
          <w:p w14:paraId="65F86740" w14:textId="77777777" w:rsidR="00EB52FA" w:rsidRPr="00C02132" w:rsidRDefault="00EB52FA" w:rsidP="00A6023C">
            <w:pPr>
              <w:pStyle w:val="AC-table-body"/>
              <w:tabs>
                <w:tab w:val="clear" w:pos="5735"/>
                <w:tab w:val="clear" w:pos="7906"/>
                <w:tab w:val="clear" w:pos="10080"/>
              </w:tabs>
            </w:pPr>
          </w:p>
        </w:tc>
      </w:tr>
      <w:tr w:rsidR="00526783" w:rsidRPr="00A6023C" w14:paraId="7A27034B"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14F445D0" w14:textId="77777777" w:rsidR="00526783" w:rsidRPr="00A6023C" w:rsidRDefault="0035710B" w:rsidP="006E3DFD">
            <w:pPr>
              <w:pStyle w:val="AGENDA-table-titles"/>
              <w:tabs>
                <w:tab w:val="clear" w:pos="5735"/>
                <w:tab w:val="clear" w:pos="7906"/>
                <w:tab w:val="clear" w:pos="10080"/>
              </w:tabs>
              <w:rPr>
                <w:rFonts w:asciiTheme="minorHAnsi" w:hAnsiTheme="minorHAnsi" w:cstheme="minorHAnsi"/>
                <w:sz w:val="20"/>
              </w:rPr>
            </w:pPr>
            <w:r w:rsidRPr="00A6023C">
              <w:rPr>
                <w:rFonts w:asciiTheme="minorHAnsi" w:hAnsiTheme="minorHAnsi" w:cstheme="minorHAnsi"/>
                <w:sz w:val="20"/>
              </w:rPr>
              <w:lastRenderedPageBreak/>
              <w:t>Opioid prefilled syringe shortage</w:t>
            </w:r>
          </w:p>
        </w:tc>
      </w:tr>
      <w:tr w:rsidR="0062367B" w:rsidRPr="00A6023C" w14:paraId="4D605C5E" w14:textId="77777777" w:rsidTr="00D133D7">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45B64011" w14:textId="77777777" w:rsidR="0062367B" w:rsidRPr="00A6023C" w:rsidRDefault="0062367B" w:rsidP="00260A21">
            <w:pPr>
              <w:pStyle w:val="AGENDA-body"/>
              <w:rPr>
                <w:rFonts w:asciiTheme="minorHAnsi" w:hAnsiTheme="minorHAnsi" w:cstheme="minorHAnsi"/>
              </w:rPr>
            </w:pPr>
            <w:r w:rsidRPr="00A6023C">
              <w:rPr>
                <w:rFonts w:asciiTheme="minorHAnsi" w:hAnsiTheme="minorHAnsi" w:cstheme="minorHAnsi"/>
              </w:rPr>
              <w:t xml:space="preserve">(15) </w:t>
            </w:r>
          </w:p>
          <w:p w14:paraId="7BC4B4B3" w14:textId="77777777" w:rsidR="0062367B" w:rsidRPr="00A6023C" w:rsidRDefault="0062367B" w:rsidP="00260A21">
            <w:pPr>
              <w:pStyle w:val="AGENDA-body"/>
              <w:tabs>
                <w:tab w:val="clear" w:pos="5735"/>
                <w:tab w:val="clear" w:pos="7906"/>
                <w:tab w:val="clear" w:pos="10080"/>
              </w:tabs>
              <w:rPr>
                <w:rFonts w:asciiTheme="minorHAnsi" w:hAnsiTheme="minorHAnsi" w:cstheme="minorHAnsi"/>
              </w:rPr>
            </w:pPr>
            <w:r w:rsidRPr="00A6023C">
              <w:rPr>
                <w:rFonts w:asciiTheme="minorHAnsi" w:hAnsiTheme="minorHAnsi" w:cstheme="minorHAnsi"/>
                <w:noProof/>
                <w:lang w:bidi="ar-SA"/>
              </w:rPr>
              <w:drawing>
                <wp:inline distT="0" distB="0" distL="0" distR="0" wp14:anchorId="2B6774F2" wp14:editId="3AFE370A">
                  <wp:extent cx="152387" cy="12191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510" w:type="dxa"/>
            <w:tcBorders>
              <w:top w:val="single" w:sz="4" w:space="0" w:color="FF0000"/>
              <w:left w:val="single" w:sz="4" w:space="0" w:color="FF0000"/>
              <w:bottom w:val="single" w:sz="4" w:space="0" w:color="FF0000"/>
              <w:right w:val="single" w:sz="4" w:space="0" w:color="FF0000"/>
            </w:tcBorders>
            <w:shd w:val="clear" w:color="auto" w:fill="FFF3D6"/>
          </w:tcPr>
          <w:p w14:paraId="44551FC7" w14:textId="77777777" w:rsidR="0062367B" w:rsidRPr="00A6023C" w:rsidRDefault="0062367B" w:rsidP="003A75B3">
            <w:pPr>
              <w:pStyle w:val="HEADLINE"/>
              <w:suppressAutoHyphens w:val="0"/>
              <w:spacing w:line="240" w:lineRule="exact"/>
              <w:rPr>
                <w:rFonts w:asciiTheme="minorHAnsi" w:eastAsia="Univers LT Std 57 Cn" w:hAnsiTheme="minorHAnsi" w:cstheme="minorHAnsi"/>
                <w:b w:val="0"/>
                <w:spacing w:val="-2"/>
                <w:sz w:val="20"/>
              </w:rPr>
            </w:pPr>
            <w:r w:rsidRPr="00A6023C">
              <w:rPr>
                <w:rFonts w:asciiTheme="minorHAnsi" w:eastAsia="Univers LT Std 57 Cn" w:hAnsiTheme="minorHAnsi" w:cstheme="minorHAnsi"/>
                <w:b w:val="0"/>
                <w:spacing w:val="-2"/>
                <w:sz w:val="20"/>
              </w:rPr>
              <w:t xml:space="preserve">Pfizer recently released news regarding upcoming shortages for certain </w:t>
            </w:r>
            <w:r w:rsidRPr="00A6023C">
              <w:rPr>
                <w:rFonts w:asciiTheme="minorHAnsi" w:eastAsia="Univers LT Std 57 Cn" w:hAnsiTheme="minorHAnsi" w:cstheme="minorHAnsi"/>
                <w:b w:val="0"/>
                <w:spacing w:val="-1"/>
                <w:sz w:val="20"/>
              </w:rPr>
              <w:t>drugs in prefilled syringes as the company undergoes efforts to address issues at one manufacturing facility.</w:t>
            </w:r>
            <w:r w:rsidRPr="00A6023C">
              <w:rPr>
                <w:rFonts w:asciiTheme="minorHAnsi" w:eastAsia="Univers LT Std 57 Cn" w:hAnsiTheme="minorHAnsi" w:cstheme="minorHAnsi"/>
                <w:b w:val="0"/>
                <w:spacing w:val="-2"/>
                <w:sz w:val="20"/>
              </w:rPr>
              <w:t xml:space="preserve"> This includes its </w:t>
            </w:r>
            <w:proofErr w:type="spellStart"/>
            <w:r w:rsidRPr="00A6023C">
              <w:rPr>
                <w:rFonts w:asciiTheme="minorHAnsi" w:eastAsia="Univers LT Std 57 Cn" w:hAnsiTheme="minorHAnsi" w:cstheme="minorHAnsi"/>
                <w:b w:val="0"/>
                <w:spacing w:val="-2"/>
                <w:sz w:val="20"/>
              </w:rPr>
              <w:t>Carpuject</w:t>
            </w:r>
            <w:proofErr w:type="spellEnd"/>
            <w:r w:rsidRPr="00A6023C">
              <w:rPr>
                <w:rFonts w:asciiTheme="minorHAnsi" w:eastAsia="Univers LT Std 57 Cn" w:hAnsiTheme="minorHAnsi" w:cstheme="minorHAnsi"/>
                <w:b w:val="0"/>
                <w:spacing w:val="-2"/>
                <w:sz w:val="20"/>
              </w:rPr>
              <w:t xml:space="preserve"> and </w:t>
            </w:r>
            <w:proofErr w:type="spellStart"/>
            <w:r w:rsidRPr="00A6023C">
              <w:rPr>
                <w:rFonts w:asciiTheme="minorHAnsi" w:eastAsia="Univers LT Std 57 Cn" w:hAnsiTheme="minorHAnsi" w:cstheme="minorHAnsi"/>
                <w:b w:val="0"/>
                <w:spacing w:val="-2"/>
                <w:sz w:val="20"/>
              </w:rPr>
              <w:t>iSecure</w:t>
            </w:r>
            <w:proofErr w:type="spellEnd"/>
            <w:r w:rsidRPr="00A6023C">
              <w:rPr>
                <w:rFonts w:asciiTheme="minorHAnsi" w:eastAsia="Univers LT Std 57 Cn" w:hAnsiTheme="minorHAnsi" w:cstheme="minorHAnsi"/>
                <w:b w:val="0"/>
                <w:spacing w:val="-2"/>
                <w:sz w:val="20"/>
              </w:rPr>
              <w:t xml:space="preserve"> products, including morphine and </w:t>
            </w:r>
            <w:proofErr w:type="spellStart"/>
            <w:r w:rsidRPr="00A6023C">
              <w:rPr>
                <w:rFonts w:asciiTheme="minorHAnsi" w:eastAsia="Univers LT Std 57 Cn" w:hAnsiTheme="minorHAnsi" w:cstheme="minorHAnsi"/>
                <w:spacing w:val="-2"/>
                <w:sz w:val="20"/>
              </w:rPr>
              <w:t>HYDRO</w:t>
            </w:r>
            <w:r w:rsidRPr="00A6023C">
              <w:rPr>
                <w:rFonts w:asciiTheme="minorHAnsi" w:eastAsia="Univers LT Std 57 Cn" w:hAnsiTheme="minorHAnsi" w:cstheme="minorHAnsi"/>
                <w:b w:val="0"/>
                <w:spacing w:val="-2"/>
                <w:sz w:val="20"/>
              </w:rPr>
              <w:t>morphone</w:t>
            </w:r>
            <w:proofErr w:type="spellEnd"/>
            <w:r w:rsidRPr="00A6023C">
              <w:rPr>
                <w:rFonts w:asciiTheme="minorHAnsi" w:eastAsia="Univers LT Std 57 Cn" w:hAnsiTheme="minorHAnsi" w:cstheme="minorHAnsi"/>
                <w:b w:val="0"/>
                <w:spacing w:val="-2"/>
                <w:sz w:val="20"/>
              </w:rPr>
              <w:t>. The company will be unable to meet demands for some items through the first quarter of 2018.</w:t>
            </w:r>
          </w:p>
        </w:tc>
        <w:tc>
          <w:tcPr>
            <w:tcW w:w="3420" w:type="dxa"/>
            <w:tcBorders>
              <w:top w:val="single" w:sz="4" w:space="0" w:color="FF0000"/>
              <w:left w:val="single" w:sz="4" w:space="0" w:color="FF0000"/>
              <w:bottom w:val="single" w:sz="4" w:space="0" w:color="FF0000"/>
              <w:right w:val="single" w:sz="4" w:space="0" w:color="FF0000"/>
            </w:tcBorders>
            <w:shd w:val="clear" w:color="auto" w:fill="F0EBD3"/>
          </w:tcPr>
          <w:p w14:paraId="10B0ECBD" w14:textId="12C6C9DE" w:rsidR="0062367B" w:rsidRPr="00A6023C" w:rsidRDefault="0062367B" w:rsidP="003A75B3">
            <w:pPr>
              <w:pStyle w:val="HEADLINE"/>
              <w:suppressAutoHyphens w:val="0"/>
              <w:spacing w:line="240" w:lineRule="exact"/>
              <w:rPr>
                <w:rFonts w:asciiTheme="minorHAnsi" w:eastAsia="Univers LT Std 57 Cn" w:hAnsiTheme="minorHAnsi" w:cstheme="minorHAnsi"/>
                <w:b w:val="0"/>
                <w:spacing w:val="-2"/>
                <w:sz w:val="20"/>
              </w:rPr>
            </w:pPr>
            <w:r w:rsidRPr="00A6023C">
              <w:rPr>
                <w:rFonts w:asciiTheme="minorHAnsi" w:eastAsia="Univers LT Std 57 Cn" w:hAnsiTheme="minorHAnsi" w:cstheme="minorHAnsi"/>
                <w:b w:val="0"/>
                <w:spacing w:val="-7"/>
                <w:sz w:val="20"/>
              </w:rPr>
              <w:t xml:space="preserve">Identify secondary options during the shortage, which may include the purchase of prefilled syringes from secondary suppliers (e.g., Fresenius </w:t>
            </w:r>
            <w:proofErr w:type="spellStart"/>
            <w:proofErr w:type="gramStart"/>
            <w:r w:rsidRPr="00A6023C">
              <w:rPr>
                <w:rFonts w:asciiTheme="minorHAnsi" w:eastAsia="Univers LT Std 57 Cn" w:hAnsiTheme="minorHAnsi" w:cstheme="minorHAnsi"/>
                <w:b w:val="0"/>
                <w:spacing w:val="-7"/>
                <w:sz w:val="20"/>
              </w:rPr>
              <w:t>Kabi</w:t>
            </w:r>
            <w:proofErr w:type="spellEnd"/>
            <w:r w:rsidRPr="00A6023C">
              <w:rPr>
                <w:rFonts w:asciiTheme="minorHAnsi" w:eastAsia="Univers LT Std 57 Cn" w:hAnsiTheme="minorHAnsi" w:cstheme="minorHAnsi"/>
                <w:b w:val="0"/>
                <w:spacing w:val="-7"/>
                <w:sz w:val="20"/>
              </w:rPr>
              <w:t>)  or</w:t>
            </w:r>
            <w:proofErr w:type="gramEnd"/>
            <w:r w:rsidRPr="00A6023C">
              <w:rPr>
                <w:rFonts w:asciiTheme="minorHAnsi" w:eastAsia="Univers LT Std 57 Cn" w:hAnsiTheme="minorHAnsi" w:cstheme="minorHAnsi"/>
                <w:b w:val="0"/>
                <w:spacing w:val="-7"/>
                <w:sz w:val="20"/>
              </w:rPr>
              <w:t xml:space="preserve"> from FDA-registered outsourcing facilities. Check that the syringes display the total amount of drug per total volume as the primary display of strength, and do not use color-coded labels. Providing </w:t>
            </w:r>
            <w:proofErr w:type="spellStart"/>
            <w:r w:rsidRPr="00A6023C">
              <w:rPr>
                <w:rFonts w:asciiTheme="minorHAnsi" w:eastAsia="Univers LT Std 57 Cn" w:hAnsiTheme="minorHAnsi" w:cstheme="minorHAnsi"/>
                <w:b w:val="0"/>
                <w:spacing w:val="-7"/>
                <w:sz w:val="20"/>
              </w:rPr>
              <w:t>ampuls</w:t>
            </w:r>
            <w:proofErr w:type="spellEnd"/>
            <w:r w:rsidRPr="00A6023C">
              <w:rPr>
                <w:rFonts w:asciiTheme="minorHAnsi" w:eastAsia="Univers LT Std 57 Cn" w:hAnsiTheme="minorHAnsi" w:cstheme="minorHAnsi"/>
                <w:b w:val="0"/>
                <w:spacing w:val="-7"/>
                <w:sz w:val="20"/>
              </w:rPr>
              <w:t xml:space="preserve"> or vials is less safe. FDA has extended the expiration dates for certain Pfizer drugs </w:t>
            </w:r>
            <w:r w:rsidRPr="00A6023C">
              <w:rPr>
                <w:rFonts w:asciiTheme="minorHAnsi" w:eastAsia="Univers LT Std 57 Cn" w:hAnsiTheme="minorHAnsi" w:cstheme="minorHAnsi"/>
                <w:b w:val="0"/>
                <w:spacing w:val="-2"/>
                <w:sz w:val="20"/>
              </w:rPr>
              <w:t>(</w:t>
            </w:r>
            <w:r w:rsidRPr="00A6023C">
              <w:rPr>
                <w:rFonts w:asciiTheme="minorHAnsi" w:eastAsia="Univers LT Std 57 Cn" w:hAnsiTheme="minorHAnsi" w:cstheme="minorHAnsi"/>
                <w:b w:val="0"/>
                <w:color w:val="0000FF"/>
                <w:spacing w:val="-2"/>
                <w:sz w:val="20"/>
                <w:u w:val="single"/>
              </w:rPr>
              <w:t>www.fda.gov/Drugs/DrugSafety/ucm563378.htm</w:t>
            </w:r>
            <w:r w:rsidRPr="00A6023C">
              <w:rPr>
                <w:rFonts w:asciiTheme="minorHAnsi" w:eastAsia="Univers LT Std 57 Cn" w:hAnsiTheme="minorHAnsi" w:cstheme="minorHAnsi"/>
                <w:b w:val="0"/>
                <w:spacing w:val="-2"/>
                <w:sz w:val="20"/>
              </w:rPr>
              <w:t>).</w:t>
            </w:r>
          </w:p>
          <w:p w14:paraId="6E76C129" w14:textId="77777777" w:rsidR="00FE068B" w:rsidRPr="00A6023C" w:rsidRDefault="00FE068B" w:rsidP="003A75B3">
            <w:pPr>
              <w:pStyle w:val="HEADLINE"/>
              <w:suppressAutoHyphens w:val="0"/>
              <w:spacing w:line="240" w:lineRule="exact"/>
              <w:rPr>
                <w:rFonts w:asciiTheme="minorHAnsi" w:eastAsia="Univers LT Std 57 Cn" w:hAnsiTheme="minorHAnsi" w:cstheme="minorHAnsi"/>
                <w:b w:val="0"/>
                <w:spacing w:val="-2"/>
                <w:sz w:val="20"/>
              </w:rPr>
            </w:pPr>
          </w:p>
        </w:tc>
        <w:tc>
          <w:tcPr>
            <w:tcW w:w="3330" w:type="dxa"/>
            <w:tcBorders>
              <w:top w:val="single" w:sz="4" w:space="0" w:color="FF0000"/>
              <w:left w:val="single" w:sz="4" w:space="0" w:color="FF0000"/>
              <w:bottom w:val="single" w:sz="4" w:space="0" w:color="FF0000"/>
              <w:right w:val="single" w:sz="4" w:space="0" w:color="FF0000"/>
            </w:tcBorders>
          </w:tcPr>
          <w:p w14:paraId="5CDD2C11" w14:textId="77777777" w:rsidR="0062367B" w:rsidRPr="00A6023C" w:rsidRDefault="0062367B"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2BF070DA" w14:textId="77777777" w:rsidR="0062367B" w:rsidRPr="00A6023C" w:rsidRDefault="0062367B"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42262B85" w14:textId="77777777" w:rsidR="0062367B" w:rsidRPr="00A6023C" w:rsidRDefault="0062367B" w:rsidP="008C5601">
            <w:pPr>
              <w:pStyle w:val="AC-table-body"/>
              <w:tabs>
                <w:tab w:val="clear" w:pos="5735"/>
                <w:tab w:val="clear" w:pos="7906"/>
                <w:tab w:val="clear" w:pos="10080"/>
              </w:tabs>
              <w:rPr>
                <w:rFonts w:asciiTheme="minorHAnsi" w:hAnsiTheme="minorHAnsi" w:cstheme="minorHAnsi"/>
              </w:rPr>
            </w:pPr>
          </w:p>
        </w:tc>
      </w:tr>
      <w:tr w:rsidR="00526783" w:rsidRPr="00A6023C" w14:paraId="79EA8305"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04C44DD4" w14:textId="77777777" w:rsidR="00526783" w:rsidRPr="00A6023C" w:rsidRDefault="003E4BB3" w:rsidP="006E3DFD">
            <w:pPr>
              <w:pStyle w:val="AGENDA-table-titles"/>
              <w:tabs>
                <w:tab w:val="clear" w:pos="5735"/>
                <w:tab w:val="clear" w:pos="7906"/>
                <w:tab w:val="clear" w:pos="10080"/>
              </w:tabs>
              <w:rPr>
                <w:rFonts w:asciiTheme="minorHAnsi" w:hAnsiTheme="minorHAnsi" w:cstheme="minorHAnsi"/>
                <w:sz w:val="20"/>
              </w:rPr>
            </w:pPr>
            <w:r w:rsidRPr="00A6023C">
              <w:rPr>
                <w:rFonts w:asciiTheme="minorHAnsi" w:hAnsiTheme="minorHAnsi" w:cstheme="minorHAnsi"/>
                <w:sz w:val="20"/>
              </w:rPr>
              <w:t>ISMP launches high-alert medication safety self assessment</w:t>
            </w:r>
          </w:p>
        </w:tc>
      </w:tr>
      <w:tr w:rsidR="003E4BB3" w:rsidRPr="00A6023C" w14:paraId="3CD33630" w14:textId="77777777" w:rsidTr="00D133D7">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34B1622F" w14:textId="77777777" w:rsidR="00F8063D" w:rsidRPr="00A6023C" w:rsidRDefault="003E4BB3" w:rsidP="00F8063D">
            <w:pPr>
              <w:pStyle w:val="AGENDA-body"/>
              <w:rPr>
                <w:rFonts w:asciiTheme="minorHAnsi" w:hAnsiTheme="minorHAnsi" w:cstheme="minorHAnsi"/>
              </w:rPr>
            </w:pPr>
            <w:r w:rsidRPr="00A6023C">
              <w:rPr>
                <w:rFonts w:asciiTheme="minorHAnsi" w:hAnsiTheme="minorHAnsi" w:cstheme="minorHAnsi"/>
                <w:spacing w:val="-2"/>
              </w:rPr>
              <w:t>(19)</w:t>
            </w:r>
            <w:r w:rsidR="00F8063D" w:rsidRPr="00A6023C">
              <w:rPr>
                <w:rFonts w:asciiTheme="minorHAnsi" w:hAnsiTheme="minorHAnsi" w:cstheme="minorHAnsi"/>
              </w:rPr>
              <w:t xml:space="preserve"> </w:t>
            </w:r>
          </w:p>
          <w:p w14:paraId="14107939" w14:textId="77777777" w:rsidR="003E4BB3" w:rsidRPr="00A6023C" w:rsidRDefault="00F8063D" w:rsidP="00F8063D">
            <w:pPr>
              <w:pStyle w:val="HEADLINE"/>
              <w:suppressAutoHyphens w:val="0"/>
              <w:spacing w:line="240" w:lineRule="exact"/>
              <w:rPr>
                <w:rFonts w:asciiTheme="minorHAnsi" w:eastAsia="Univers LT Std 57 Cn" w:hAnsiTheme="minorHAnsi" w:cstheme="minorHAnsi"/>
                <w:b w:val="0"/>
                <w:spacing w:val="-2"/>
                <w:sz w:val="20"/>
              </w:rPr>
            </w:pPr>
            <w:r w:rsidRPr="00A6023C">
              <w:rPr>
                <w:rFonts w:asciiTheme="minorHAnsi" w:hAnsiTheme="minorHAnsi" w:cstheme="minorHAnsi"/>
                <w:noProof/>
                <w:sz w:val="20"/>
                <w:lang w:bidi="ar-SA"/>
              </w:rPr>
              <w:drawing>
                <wp:inline distT="0" distB="0" distL="0" distR="0" wp14:anchorId="45924D47" wp14:editId="18AB840C">
                  <wp:extent cx="152387" cy="12191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tc>
        <w:tc>
          <w:tcPr>
            <w:tcW w:w="3510" w:type="dxa"/>
            <w:tcBorders>
              <w:top w:val="single" w:sz="4" w:space="0" w:color="FF0000"/>
              <w:left w:val="single" w:sz="4" w:space="0" w:color="FF0000"/>
              <w:bottom w:val="single" w:sz="4" w:space="0" w:color="FF0000"/>
              <w:right w:val="single" w:sz="4" w:space="0" w:color="FF0000"/>
            </w:tcBorders>
            <w:shd w:val="clear" w:color="auto" w:fill="FFF3D6"/>
          </w:tcPr>
          <w:p w14:paraId="57073282" w14:textId="77777777" w:rsidR="003E4BB3" w:rsidRPr="00A6023C" w:rsidRDefault="003E4BB3" w:rsidP="003A75B3">
            <w:pPr>
              <w:pStyle w:val="HEADLINE"/>
              <w:suppressAutoHyphens w:val="0"/>
              <w:spacing w:line="240" w:lineRule="exact"/>
              <w:rPr>
                <w:rFonts w:asciiTheme="minorHAnsi" w:eastAsia="Univers LT Std 57 Cn" w:hAnsiTheme="minorHAnsi" w:cstheme="minorHAnsi"/>
                <w:b w:val="0"/>
                <w:spacing w:val="-2"/>
                <w:sz w:val="20"/>
              </w:rPr>
            </w:pPr>
            <w:r w:rsidRPr="00A6023C">
              <w:rPr>
                <w:rFonts w:asciiTheme="minorHAnsi" w:eastAsia="Univers LT Std 57 Cn" w:hAnsiTheme="minorHAnsi" w:cstheme="minorHAnsi"/>
                <w:b w:val="0"/>
                <w:spacing w:val="-6"/>
                <w:sz w:val="20"/>
              </w:rPr>
              <w:t xml:space="preserve">A subset of medications </w:t>
            </w:r>
            <w:proofErr w:type="gramStart"/>
            <w:r w:rsidRPr="00A6023C">
              <w:rPr>
                <w:rFonts w:asciiTheme="minorHAnsi" w:eastAsia="Univers LT Std 57 Cn" w:hAnsiTheme="minorHAnsi" w:cstheme="minorHAnsi"/>
                <w:b w:val="0"/>
                <w:spacing w:val="-6"/>
                <w:sz w:val="20"/>
              </w:rPr>
              <w:t>bear</w:t>
            </w:r>
            <w:proofErr w:type="gramEnd"/>
            <w:r w:rsidRPr="00A6023C">
              <w:rPr>
                <w:rFonts w:asciiTheme="minorHAnsi" w:eastAsia="Univers LT Std 57 Cn" w:hAnsiTheme="minorHAnsi" w:cstheme="minorHAnsi"/>
                <w:b w:val="0"/>
                <w:spacing w:val="-6"/>
                <w:sz w:val="20"/>
              </w:rPr>
              <w:t xml:space="preserve"> a heightened risk of causing significant patient harm when used in error. These drugs, called high-alert medications, include opioids, anticoagulants, neuromuscular blocking agents, concentrated electrolytes, magnesium sulfate, insulin, chemotherapy, and lipid-based medications. Although mistakes may or may not be more common with these medications, the consequences of an </w:t>
            </w:r>
            <w:r w:rsidRPr="00A6023C">
              <w:rPr>
                <w:rFonts w:asciiTheme="minorHAnsi" w:eastAsia="Univers LT Std 57 Cn" w:hAnsiTheme="minorHAnsi" w:cstheme="minorHAnsi"/>
                <w:b w:val="0"/>
                <w:spacing w:val="-2"/>
                <w:sz w:val="20"/>
              </w:rPr>
              <w:t>error can be clearly more devastating to patients.</w:t>
            </w:r>
          </w:p>
        </w:tc>
        <w:tc>
          <w:tcPr>
            <w:tcW w:w="3420" w:type="dxa"/>
            <w:tcBorders>
              <w:top w:val="single" w:sz="4" w:space="0" w:color="FF0000"/>
              <w:left w:val="single" w:sz="4" w:space="0" w:color="FF0000"/>
              <w:bottom w:val="single" w:sz="4" w:space="0" w:color="FF0000"/>
              <w:right w:val="single" w:sz="4" w:space="0" w:color="FF0000"/>
            </w:tcBorders>
            <w:shd w:val="clear" w:color="auto" w:fill="F0EBD3"/>
          </w:tcPr>
          <w:p w14:paraId="4A2984E9" w14:textId="77777777" w:rsidR="003E4BB3" w:rsidRPr="00A6023C" w:rsidRDefault="003E4BB3" w:rsidP="003A75B3">
            <w:pPr>
              <w:pStyle w:val="HEADLINE"/>
              <w:suppressAutoHyphens w:val="0"/>
              <w:spacing w:line="240" w:lineRule="exact"/>
              <w:rPr>
                <w:rFonts w:asciiTheme="minorHAnsi" w:eastAsia="Univers LT Std 57 Cn" w:hAnsiTheme="minorHAnsi" w:cstheme="minorHAnsi"/>
                <w:b w:val="0"/>
                <w:spacing w:val="-2"/>
                <w:sz w:val="20"/>
              </w:rPr>
            </w:pPr>
            <w:r w:rsidRPr="00A6023C">
              <w:rPr>
                <w:rFonts w:asciiTheme="minorHAnsi" w:eastAsia="Univers LT Std 57 Cn" w:hAnsiTheme="minorHAnsi" w:cstheme="minorHAnsi"/>
                <w:b w:val="0"/>
                <w:spacing w:val="-8"/>
                <w:sz w:val="20"/>
              </w:rPr>
              <w:t>ISMP has launched the first high-alert medication safety self assessment for hospitals, long-term care, and some outpatient facilities (</w:t>
            </w:r>
            <w:r w:rsidRPr="00A6023C">
              <w:rPr>
                <w:rFonts w:asciiTheme="minorHAnsi" w:eastAsia="Univers LT Std 57 Cn" w:hAnsiTheme="minorHAnsi" w:cstheme="minorHAnsi"/>
                <w:b w:val="0"/>
                <w:color w:val="0000FF"/>
                <w:spacing w:val="-8"/>
                <w:sz w:val="20"/>
                <w:u w:val="single"/>
              </w:rPr>
              <w:t xml:space="preserve">www.ismp.org/selfas </w:t>
            </w:r>
            <w:proofErr w:type="spellStart"/>
            <w:r w:rsidRPr="00A6023C">
              <w:rPr>
                <w:rFonts w:asciiTheme="minorHAnsi" w:eastAsia="Univers LT Std 57 Cn" w:hAnsiTheme="minorHAnsi" w:cstheme="minorHAnsi"/>
                <w:b w:val="0"/>
                <w:color w:val="0000FF"/>
                <w:spacing w:val="-8"/>
                <w:sz w:val="20"/>
                <w:u w:val="single"/>
              </w:rPr>
              <w:t>sessments</w:t>
            </w:r>
            <w:proofErr w:type="spellEnd"/>
            <w:r w:rsidRPr="00A6023C">
              <w:rPr>
                <w:rFonts w:asciiTheme="minorHAnsi" w:eastAsia="Univers LT Std 57 Cn" w:hAnsiTheme="minorHAnsi" w:cstheme="minorHAnsi"/>
                <w:b w:val="0"/>
                <w:color w:val="0000FF"/>
                <w:spacing w:val="-8"/>
                <w:sz w:val="20"/>
                <w:u w:val="single"/>
              </w:rPr>
              <w:t>/SAHAM/Default.aspx</w:t>
            </w:r>
            <w:r w:rsidRPr="00A6023C">
              <w:rPr>
                <w:rFonts w:asciiTheme="minorHAnsi" w:eastAsia="Univers LT Std 57 Cn" w:hAnsiTheme="minorHAnsi" w:cstheme="minorHAnsi"/>
                <w:b w:val="0"/>
                <w:spacing w:val="-8"/>
                <w:sz w:val="20"/>
              </w:rPr>
              <w:t>) to help assess</w:t>
            </w:r>
            <w:r w:rsidRPr="00A6023C">
              <w:rPr>
                <w:rFonts w:asciiTheme="minorHAnsi" w:eastAsia="Univers LT Std 57 Cn" w:hAnsiTheme="minorHAnsi" w:cstheme="minorHAnsi"/>
                <w:b w:val="0"/>
                <w:spacing w:val="-7"/>
                <w:sz w:val="20"/>
              </w:rPr>
              <w:t xml:space="preserve"> systems and practices associated with up to 11 categories of high-alert medications. Organizations that submit their assessment findings anonymously to ISMP will obtain weighted scores so they can compare themselves to demographically sim</w:t>
            </w:r>
            <w:r w:rsidRPr="00A6023C">
              <w:rPr>
                <w:rFonts w:asciiTheme="minorHAnsi" w:eastAsia="Univers LT Std 57 Cn" w:hAnsiTheme="minorHAnsi" w:cstheme="minorHAnsi"/>
                <w:b w:val="0"/>
                <w:spacing w:val="-2"/>
                <w:sz w:val="20"/>
              </w:rPr>
              <w:t xml:space="preserve">ilar organizations nationally.  </w:t>
            </w:r>
          </w:p>
          <w:p w14:paraId="35DCB6C3" w14:textId="77777777" w:rsidR="00FE068B" w:rsidRPr="00A6023C" w:rsidRDefault="00FE068B" w:rsidP="003A75B3">
            <w:pPr>
              <w:pStyle w:val="HEADLINE"/>
              <w:suppressAutoHyphens w:val="0"/>
              <w:spacing w:line="240" w:lineRule="exact"/>
              <w:rPr>
                <w:rFonts w:asciiTheme="minorHAnsi" w:eastAsia="Univers LT Std 57 Cn" w:hAnsiTheme="minorHAnsi" w:cstheme="minorHAnsi"/>
                <w:b w:val="0"/>
                <w:spacing w:val="-2"/>
                <w:sz w:val="20"/>
              </w:rPr>
            </w:pPr>
          </w:p>
        </w:tc>
        <w:tc>
          <w:tcPr>
            <w:tcW w:w="3330" w:type="dxa"/>
            <w:tcBorders>
              <w:top w:val="single" w:sz="4" w:space="0" w:color="FF0000"/>
              <w:left w:val="single" w:sz="4" w:space="0" w:color="FF0000"/>
              <w:bottom w:val="single" w:sz="4" w:space="0" w:color="FF0000"/>
              <w:right w:val="single" w:sz="4" w:space="0" w:color="FF0000"/>
            </w:tcBorders>
          </w:tcPr>
          <w:p w14:paraId="6F5C21B1" w14:textId="77777777" w:rsidR="003E4BB3" w:rsidRPr="00A6023C" w:rsidRDefault="003E4BB3"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3C856EC0" w14:textId="77777777" w:rsidR="003E4BB3" w:rsidRPr="00A6023C" w:rsidRDefault="003E4BB3"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65F68182" w14:textId="77777777" w:rsidR="003E4BB3" w:rsidRPr="00A6023C" w:rsidRDefault="003E4BB3" w:rsidP="008C5601">
            <w:pPr>
              <w:pStyle w:val="AC-table-body"/>
              <w:tabs>
                <w:tab w:val="clear" w:pos="5735"/>
                <w:tab w:val="clear" w:pos="7906"/>
                <w:tab w:val="clear" w:pos="10080"/>
              </w:tabs>
              <w:rPr>
                <w:rFonts w:asciiTheme="minorHAnsi" w:hAnsiTheme="minorHAnsi" w:cstheme="minorHAnsi"/>
              </w:rPr>
            </w:pPr>
          </w:p>
        </w:tc>
      </w:tr>
      <w:tr w:rsidR="001F246B" w:rsidRPr="00A6023C" w14:paraId="646D2935"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0DD2A0BD" w14:textId="77777777" w:rsidR="001F246B" w:rsidRPr="00A6023C" w:rsidRDefault="00C73BE3" w:rsidP="006E3DFD">
            <w:pPr>
              <w:pStyle w:val="AGENDA-table-titles"/>
              <w:tabs>
                <w:tab w:val="clear" w:pos="5735"/>
                <w:tab w:val="clear" w:pos="7906"/>
                <w:tab w:val="clear" w:pos="10080"/>
              </w:tabs>
              <w:rPr>
                <w:rFonts w:asciiTheme="minorHAnsi" w:hAnsiTheme="minorHAnsi" w:cstheme="minorHAnsi"/>
                <w:sz w:val="20"/>
              </w:rPr>
            </w:pPr>
            <w:r w:rsidRPr="00A6023C">
              <w:rPr>
                <w:rFonts w:asciiTheme="minorHAnsi" w:hAnsiTheme="minorHAnsi" w:cstheme="minorHAnsi"/>
                <w:sz w:val="20"/>
              </w:rPr>
              <w:t>Unsafe procainamide packaging (</w:t>
            </w:r>
            <w:proofErr w:type="spellStart"/>
            <w:r w:rsidRPr="00A6023C">
              <w:rPr>
                <w:rFonts w:asciiTheme="minorHAnsi" w:hAnsiTheme="minorHAnsi" w:cstheme="minorHAnsi"/>
                <w:sz w:val="20"/>
              </w:rPr>
              <w:t>Amphastar</w:t>
            </w:r>
            <w:proofErr w:type="spellEnd"/>
            <w:r w:rsidRPr="00A6023C">
              <w:rPr>
                <w:rFonts w:asciiTheme="minorHAnsi" w:hAnsiTheme="minorHAnsi" w:cstheme="minorHAnsi"/>
                <w:sz w:val="20"/>
              </w:rPr>
              <w:t>)</w:t>
            </w:r>
          </w:p>
        </w:tc>
      </w:tr>
      <w:tr w:rsidR="00C73BE3" w:rsidRPr="00A6023C" w14:paraId="14E91626" w14:textId="77777777" w:rsidTr="00D133D7">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4AD2B916" w14:textId="77777777" w:rsidR="00C73BE3" w:rsidRPr="00A6023C" w:rsidRDefault="00C73BE3" w:rsidP="003A75B3">
            <w:pPr>
              <w:pStyle w:val="HEADLINE"/>
              <w:suppressAutoHyphens w:val="0"/>
              <w:spacing w:line="240" w:lineRule="exact"/>
              <w:rPr>
                <w:rFonts w:asciiTheme="minorHAnsi" w:eastAsia="Univers LT Std 57 Cn" w:hAnsiTheme="minorHAnsi" w:cstheme="minorHAnsi"/>
                <w:b w:val="0"/>
                <w:spacing w:val="-2"/>
                <w:sz w:val="20"/>
              </w:rPr>
            </w:pPr>
            <w:r w:rsidRPr="00A6023C">
              <w:rPr>
                <w:rFonts w:asciiTheme="minorHAnsi" w:eastAsia="Univers LT Std 57 Cn" w:hAnsiTheme="minorHAnsi" w:cstheme="minorHAnsi"/>
                <w:b w:val="0"/>
                <w:spacing w:val="-2"/>
                <w:sz w:val="20"/>
              </w:rPr>
              <w:t>(15)</w:t>
            </w:r>
          </w:p>
        </w:tc>
        <w:tc>
          <w:tcPr>
            <w:tcW w:w="3510" w:type="dxa"/>
            <w:tcBorders>
              <w:top w:val="single" w:sz="4" w:space="0" w:color="FF0000"/>
              <w:left w:val="single" w:sz="4" w:space="0" w:color="FF0000"/>
              <w:bottom w:val="single" w:sz="4" w:space="0" w:color="FF0000"/>
              <w:right w:val="single" w:sz="4" w:space="0" w:color="FF0000"/>
            </w:tcBorders>
            <w:shd w:val="clear" w:color="auto" w:fill="FFF3D6"/>
          </w:tcPr>
          <w:p w14:paraId="11134AE0" w14:textId="77777777" w:rsidR="00C73BE3" w:rsidRPr="00A6023C" w:rsidRDefault="00C73BE3" w:rsidP="003A75B3">
            <w:pPr>
              <w:pStyle w:val="HEADLINE"/>
              <w:suppressAutoHyphens w:val="0"/>
              <w:spacing w:line="240" w:lineRule="exact"/>
              <w:rPr>
                <w:rFonts w:asciiTheme="minorHAnsi" w:eastAsia="Univers LT Std 57 Cn" w:hAnsiTheme="minorHAnsi" w:cstheme="minorHAnsi"/>
                <w:b w:val="0"/>
                <w:spacing w:val="-2"/>
                <w:sz w:val="20"/>
              </w:rPr>
            </w:pPr>
            <w:r w:rsidRPr="00A6023C">
              <w:rPr>
                <w:rFonts w:asciiTheme="minorHAnsi" w:eastAsia="Univers LT Std 57 Cn" w:hAnsiTheme="minorHAnsi" w:cstheme="minorHAnsi"/>
                <w:b w:val="0"/>
                <w:spacing w:val="-6"/>
                <w:sz w:val="20"/>
              </w:rPr>
              <w:t xml:space="preserve">Procainamide syringes from </w:t>
            </w:r>
            <w:proofErr w:type="spellStart"/>
            <w:r w:rsidRPr="00A6023C">
              <w:rPr>
                <w:rFonts w:asciiTheme="minorHAnsi" w:eastAsia="Univers LT Std 57 Cn" w:hAnsiTheme="minorHAnsi" w:cstheme="minorHAnsi"/>
                <w:b w:val="0"/>
                <w:spacing w:val="-6"/>
                <w:sz w:val="20"/>
              </w:rPr>
              <w:t>Amphastar</w:t>
            </w:r>
            <w:proofErr w:type="spellEnd"/>
            <w:r w:rsidRPr="00A6023C">
              <w:rPr>
                <w:rFonts w:asciiTheme="minorHAnsi" w:eastAsia="Univers LT Std 57 Cn" w:hAnsiTheme="minorHAnsi" w:cstheme="minorHAnsi"/>
                <w:b w:val="0"/>
                <w:spacing w:val="-6"/>
                <w:sz w:val="20"/>
              </w:rPr>
              <w:t xml:space="preserve"> have a </w:t>
            </w:r>
            <w:proofErr w:type="spellStart"/>
            <w:r w:rsidRPr="00A6023C">
              <w:rPr>
                <w:rFonts w:asciiTheme="minorHAnsi" w:eastAsia="Univers LT Std 57 Cn" w:hAnsiTheme="minorHAnsi" w:cstheme="minorHAnsi"/>
                <w:b w:val="0"/>
                <w:spacing w:val="-6"/>
                <w:sz w:val="20"/>
              </w:rPr>
              <w:t>luer</w:t>
            </w:r>
            <w:proofErr w:type="spellEnd"/>
            <w:r w:rsidRPr="00A6023C">
              <w:rPr>
                <w:rFonts w:asciiTheme="minorHAnsi" w:eastAsia="Univers LT Std 57 Cn" w:hAnsiTheme="minorHAnsi" w:cstheme="minorHAnsi"/>
                <w:b w:val="0"/>
                <w:spacing w:val="-6"/>
                <w:sz w:val="20"/>
              </w:rPr>
              <w:t xml:space="preserve"> connector, which could allow IV push of a 1 g bolus of the drug and subsequent toxicity. The label statement, </w:t>
            </w:r>
            <w:r w:rsidRPr="00A6023C">
              <w:rPr>
                <w:rFonts w:asciiTheme="minorHAnsi" w:eastAsia="Univers LT Std 57 Cn" w:hAnsiTheme="minorHAnsi" w:cstheme="minorHAnsi"/>
                <w:spacing w:val="-6"/>
                <w:sz w:val="20"/>
              </w:rPr>
              <w:t>FOR THE PREPARATION OF I.V. INFUSIONS ONLY</w:t>
            </w:r>
            <w:r w:rsidRPr="00A6023C">
              <w:rPr>
                <w:rFonts w:asciiTheme="minorHAnsi" w:eastAsia="Univers LT Std 57 Cn" w:hAnsiTheme="minorHAnsi" w:cstheme="minorHAnsi"/>
                <w:b w:val="0"/>
                <w:spacing w:val="-6"/>
                <w:sz w:val="20"/>
              </w:rPr>
              <w:t xml:space="preserve">, could easily be missed. Products that require further dilution prior to administration should not be packaged in </w:t>
            </w:r>
            <w:r w:rsidRPr="00A6023C">
              <w:rPr>
                <w:rFonts w:asciiTheme="minorHAnsi" w:eastAsia="Univers LT Std 57 Cn" w:hAnsiTheme="minorHAnsi" w:cstheme="minorHAnsi"/>
                <w:b w:val="0"/>
                <w:spacing w:val="-2"/>
                <w:sz w:val="20"/>
              </w:rPr>
              <w:t xml:space="preserve">containers that allow direct administration. </w:t>
            </w:r>
          </w:p>
          <w:p w14:paraId="2C2C2A99" w14:textId="77777777" w:rsidR="00FE068B" w:rsidRPr="00A6023C" w:rsidRDefault="00FE068B" w:rsidP="003A75B3">
            <w:pPr>
              <w:pStyle w:val="HEADLINE"/>
              <w:suppressAutoHyphens w:val="0"/>
              <w:spacing w:line="240" w:lineRule="exact"/>
              <w:rPr>
                <w:rFonts w:asciiTheme="minorHAnsi" w:eastAsia="Univers LT Std 57 Cn" w:hAnsiTheme="minorHAnsi" w:cstheme="minorHAnsi"/>
                <w:b w:val="0"/>
                <w:spacing w:val="-2"/>
                <w:sz w:val="20"/>
              </w:rPr>
            </w:pPr>
          </w:p>
        </w:tc>
        <w:tc>
          <w:tcPr>
            <w:tcW w:w="3420" w:type="dxa"/>
            <w:tcBorders>
              <w:top w:val="single" w:sz="4" w:space="0" w:color="FF0000"/>
              <w:left w:val="single" w:sz="4" w:space="0" w:color="FF0000"/>
              <w:bottom w:val="single" w:sz="4" w:space="0" w:color="FF0000"/>
              <w:right w:val="single" w:sz="4" w:space="0" w:color="FF0000"/>
            </w:tcBorders>
            <w:shd w:val="clear" w:color="auto" w:fill="F0EBD3"/>
          </w:tcPr>
          <w:p w14:paraId="356B0467" w14:textId="77777777" w:rsidR="00C73BE3" w:rsidRPr="00A6023C" w:rsidRDefault="00C73BE3" w:rsidP="003A75B3">
            <w:pPr>
              <w:pStyle w:val="HEADLINE"/>
              <w:suppressAutoHyphens w:val="0"/>
              <w:spacing w:line="240" w:lineRule="exact"/>
              <w:rPr>
                <w:rFonts w:asciiTheme="minorHAnsi" w:eastAsia="Univers LT Std 57 Cn" w:hAnsiTheme="minorHAnsi" w:cstheme="minorHAnsi"/>
                <w:b w:val="0"/>
                <w:spacing w:val="-2"/>
                <w:sz w:val="20"/>
              </w:rPr>
            </w:pPr>
            <w:r w:rsidRPr="00A6023C">
              <w:rPr>
                <w:rFonts w:asciiTheme="minorHAnsi" w:eastAsia="Univers LT Std 57 Cn" w:hAnsiTheme="minorHAnsi" w:cstheme="minorHAnsi"/>
                <w:b w:val="0"/>
                <w:spacing w:val="-2"/>
                <w:sz w:val="20"/>
              </w:rPr>
              <w:t xml:space="preserve">Use 1 g vials for preparing procainamide bolus doses as well as infusions. If your facility purchases procainamide 1,000 mg/10 mL syringes from </w:t>
            </w:r>
            <w:proofErr w:type="spellStart"/>
            <w:r w:rsidRPr="00A6023C">
              <w:rPr>
                <w:rFonts w:asciiTheme="minorHAnsi" w:eastAsia="Univers LT Std 57 Cn" w:hAnsiTheme="minorHAnsi" w:cstheme="minorHAnsi"/>
                <w:b w:val="0"/>
                <w:spacing w:val="-2"/>
                <w:sz w:val="20"/>
              </w:rPr>
              <w:t>Amphastar</w:t>
            </w:r>
            <w:proofErr w:type="spellEnd"/>
            <w:r w:rsidRPr="00A6023C">
              <w:rPr>
                <w:rFonts w:asciiTheme="minorHAnsi" w:eastAsia="Univers LT Std 57 Cn" w:hAnsiTheme="minorHAnsi" w:cstheme="minorHAnsi"/>
                <w:b w:val="0"/>
                <w:spacing w:val="-2"/>
                <w:sz w:val="20"/>
              </w:rPr>
              <w:t xml:space="preserve">, stock the product only in the pharmacy for use when preparing an infusion. Crash carts and emergency supply areas should be stocked with vials. </w:t>
            </w:r>
          </w:p>
        </w:tc>
        <w:tc>
          <w:tcPr>
            <w:tcW w:w="3330" w:type="dxa"/>
            <w:tcBorders>
              <w:top w:val="single" w:sz="4" w:space="0" w:color="FF0000"/>
              <w:left w:val="single" w:sz="4" w:space="0" w:color="FF0000"/>
              <w:bottom w:val="single" w:sz="4" w:space="0" w:color="FF0000"/>
              <w:right w:val="single" w:sz="4" w:space="0" w:color="FF0000"/>
            </w:tcBorders>
          </w:tcPr>
          <w:p w14:paraId="6594AE92" w14:textId="77777777" w:rsidR="00C73BE3" w:rsidRPr="00A6023C" w:rsidRDefault="00C73BE3"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13F9F800" w14:textId="77777777" w:rsidR="00C73BE3" w:rsidRPr="00A6023C" w:rsidRDefault="00C73BE3"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77ABCD1F" w14:textId="77777777" w:rsidR="00C73BE3" w:rsidRPr="00A6023C" w:rsidRDefault="00C73BE3" w:rsidP="008C5601">
            <w:pPr>
              <w:pStyle w:val="AC-table-body"/>
              <w:tabs>
                <w:tab w:val="clear" w:pos="5735"/>
                <w:tab w:val="clear" w:pos="7906"/>
                <w:tab w:val="clear" w:pos="10080"/>
              </w:tabs>
              <w:rPr>
                <w:rFonts w:asciiTheme="minorHAnsi" w:hAnsiTheme="minorHAnsi" w:cstheme="minorHAnsi"/>
              </w:rPr>
            </w:pPr>
          </w:p>
        </w:tc>
      </w:tr>
      <w:tr w:rsidR="001F246B" w:rsidRPr="00A6023C" w14:paraId="199C6972"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4D037B42" w14:textId="77777777" w:rsidR="001F246B" w:rsidRPr="00A6023C" w:rsidRDefault="00EF5DC1" w:rsidP="006E3DFD">
            <w:pPr>
              <w:pStyle w:val="AGENDA-table-titles"/>
              <w:tabs>
                <w:tab w:val="clear" w:pos="5735"/>
                <w:tab w:val="clear" w:pos="7906"/>
                <w:tab w:val="clear" w:pos="10080"/>
              </w:tabs>
              <w:rPr>
                <w:rFonts w:asciiTheme="minorHAnsi" w:hAnsiTheme="minorHAnsi" w:cstheme="minorHAnsi"/>
                <w:sz w:val="20"/>
              </w:rPr>
            </w:pPr>
            <w:r w:rsidRPr="00A6023C">
              <w:rPr>
                <w:rFonts w:asciiTheme="minorHAnsi" w:hAnsiTheme="minorHAnsi" w:cstheme="minorHAnsi"/>
                <w:sz w:val="20"/>
              </w:rPr>
              <w:lastRenderedPageBreak/>
              <w:t xml:space="preserve">Adapters to connect standard oral syringes and </w:t>
            </w:r>
            <w:proofErr w:type="spellStart"/>
            <w:r w:rsidRPr="00A6023C">
              <w:rPr>
                <w:rFonts w:asciiTheme="minorHAnsi" w:hAnsiTheme="minorHAnsi" w:cstheme="minorHAnsi"/>
                <w:sz w:val="20"/>
              </w:rPr>
              <w:t>ENFit</w:t>
            </w:r>
            <w:proofErr w:type="spellEnd"/>
            <w:r w:rsidRPr="00A6023C">
              <w:rPr>
                <w:rFonts w:asciiTheme="minorHAnsi" w:hAnsiTheme="minorHAnsi" w:cstheme="minorHAnsi"/>
                <w:sz w:val="20"/>
              </w:rPr>
              <w:t xml:space="preserve"> connectors are dangerous</w:t>
            </w:r>
          </w:p>
        </w:tc>
      </w:tr>
      <w:tr w:rsidR="00EF5DC1" w:rsidRPr="00A6023C" w14:paraId="45A507CB" w14:textId="77777777" w:rsidTr="00D133D7">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2086056B" w14:textId="77777777" w:rsidR="00EF5DC1" w:rsidRPr="00A6023C" w:rsidRDefault="00EF5DC1" w:rsidP="003A75B3">
            <w:pPr>
              <w:pStyle w:val="HEADLINE"/>
              <w:suppressAutoHyphens w:val="0"/>
              <w:spacing w:line="240" w:lineRule="exact"/>
              <w:rPr>
                <w:rFonts w:asciiTheme="minorHAnsi" w:eastAsia="Univers LT Std 57 Cn" w:hAnsiTheme="minorHAnsi" w:cstheme="minorHAnsi"/>
                <w:b w:val="0"/>
                <w:spacing w:val="-2"/>
                <w:sz w:val="20"/>
              </w:rPr>
            </w:pPr>
            <w:r w:rsidRPr="00A6023C">
              <w:rPr>
                <w:rFonts w:asciiTheme="minorHAnsi" w:eastAsia="Univers LT Std 57 Cn" w:hAnsiTheme="minorHAnsi" w:cstheme="minorHAnsi"/>
                <w:b w:val="0"/>
                <w:spacing w:val="-2"/>
                <w:sz w:val="20"/>
              </w:rPr>
              <w:t>(19)</w:t>
            </w:r>
          </w:p>
        </w:tc>
        <w:tc>
          <w:tcPr>
            <w:tcW w:w="3510" w:type="dxa"/>
            <w:tcBorders>
              <w:top w:val="single" w:sz="4" w:space="0" w:color="FF0000"/>
              <w:left w:val="single" w:sz="4" w:space="0" w:color="FF0000"/>
              <w:bottom w:val="single" w:sz="4" w:space="0" w:color="FF0000"/>
              <w:right w:val="single" w:sz="4" w:space="0" w:color="FF0000"/>
            </w:tcBorders>
            <w:shd w:val="clear" w:color="auto" w:fill="FFF3D6"/>
          </w:tcPr>
          <w:p w14:paraId="508AACE4" w14:textId="77777777" w:rsidR="00EF5DC1" w:rsidRPr="00A6023C" w:rsidRDefault="00EF5DC1" w:rsidP="003A75B3">
            <w:pPr>
              <w:pStyle w:val="HEADLINE"/>
              <w:suppressAutoHyphens w:val="0"/>
              <w:spacing w:line="240" w:lineRule="exact"/>
              <w:rPr>
                <w:rFonts w:asciiTheme="minorHAnsi" w:eastAsia="Univers LT Std 57 Cn" w:hAnsiTheme="minorHAnsi" w:cstheme="minorHAnsi"/>
                <w:b w:val="0"/>
                <w:spacing w:val="-7"/>
                <w:sz w:val="20"/>
              </w:rPr>
            </w:pPr>
            <w:r w:rsidRPr="00A6023C">
              <w:rPr>
                <w:rFonts w:asciiTheme="minorHAnsi" w:eastAsia="Univers LT Std 57 Cn" w:hAnsiTheme="minorHAnsi" w:cstheme="minorHAnsi"/>
                <w:b w:val="0"/>
                <w:spacing w:val="-7"/>
                <w:sz w:val="20"/>
              </w:rPr>
              <w:t xml:space="preserve">Manufacturers are temporarily distributing </w:t>
            </w:r>
            <w:proofErr w:type="spellStart"/>
            <w:r w:rsidRPr="00A6023C">
              <w:rPr>
                <w:rFonts w:asciiTheme="minorHAnsi" w:eastAsia="Univers LT Std 57 Cn" w:hAnsiTheme="minorHAnsi" w:cstheme="minorHAnsi"/>
                <w:b w:val="0"/>
                <w:spacing w:val="-7"/>
                <w:sz w:val="20"/>
              </w:rPr>
              <w:t>ENFit</w:t>
            </w:r>
            <w:proofErr w:type="spellEnd"/>
            <w:r w:rsidRPr="00A6023C">
              <w:rPr>
                <w:rFonts w:asciiTheme="minorHAnsi" w:eastAsia="Univers LT Std 57 Cn" w:hAnsiTheme="minorHAnsi" w:cstheme="minorHAnsi"/>
                <w:b w:val="0"/>
                <w:spacing w:val="-7"/>
                <w:sz w:val="20"/>
              </w:rPr>
              <w:t xml:space="preserve"> administration sets with transition adapters that connect to </w:t>
            </w:r>
            <w:proofErr w:type="spellStart"/>
            <w:r w:rsidRPr="00A6023C">
              <w:rPr>
                <w:rFonts w:asciiTheme="minorHAnsi" w:eastAsia="Univers LT Std 57 Cn" w:hAnsiTheme="minorHAnsi" w:cstheme="minorHAnsi"/>
                <w:b w:val="0"/>
                <w:spacing w:val="-7"/>
                <w:sz w:val="20"/>
              </w:rPr>
              <w:t>luer</w:t>
            </w:r>
            <w:proofErr w:type="spellEnd"/>
            <w:r w:rsidRPr="00A6023C">
              <w:rPr>
                <w:rFonts w:asciiTheme="minorHAnsi" w:eastAsia="Univers LT Std 57 Cn" w:hAnsiTheme="minorHAnsi" w:cstheme="minorHAnsi"/>
                <w:b w:val="0"/>
                <w:spacing w:val="-7"/>
                <w:sz w:val="20"/>
              </w:rPr>
              <w:t xml:space="preserve"> feeding tube connectors in case patients are not yet using </w:t>
            </w:r>
            <w:proofErr w:type="spellStart"/>
            <w:r w:rsidRPr="00A6023C">
              <w:rPr>
                <w:rFonts w:asciiTheme="minorHAnsi" w:eastAsia="Univers LT Std 57 Cn" w:hAnsiTheme="minorHAnsi" w:cstheme="minorHAnsi"/>
                <w:b w:val="0"/>
                <w:spacing w:val="-7"/>
                <w:sz w:val="20"/>
              </w:rPr>
              <w:t>ENFit</w:t>
            </w:r>
            <w:proofErr w:type="spellEnd"/>
            <w:r w:rsidRPr="00A6023C">
              <w:rPr>
                <w:rFonts w:asciiTheme="minorHAnsi" w:eastAsia="Univers LT Std 57 Cn" w:hAnsiTheme="minorHAnsi" w:cstheme="minorHAnsi"/>
                <w:b w:val="0"/>
                <w:spacing w:val="-7"/>
                <w:sz w:val="20"/>
              </w:rPr>
              <w:t xml:space="preserve"> feeding tubes. Other types of adapters have become available to facilitate a connection between standard oral syringes and </w:t>
            </w:r>
            <w:proofErr w:type="spellStart"/>
            <w:r w:rsidRPr="00A6023C">
              <w:rPr>
                <w:rFonts w:asciiTheme="minorHAnsi" w:eastAsia="Univers LT Std 57 Cn" w:hAnsiTheme="minorHAnsi" w:cstheme="minorHAnsi"/>
                <w:b w:val="0"/>
                <w:spacing w:val="-7"/>
                <w:sz w:val="20"/>
              </w:rPr>
              <w:t>ENFit</w:t>
            </w:r>
            <w:proofErr w:type="spellEnd"/>
            <w:r w:rsidRPr="00A6023C">
              <w:rPr>
                <w:rFonts w:asciiTheme="minorHAnsi" w:eastAsia="Univers LT Std 57 Cn" w:hAnsiTheme="minorHAnsi" w:cstheme="minorHAnsi"/>
                <w:b w:val="0"/>
                <w:spacing w:val="-7"/>
                <w:sz w:val="20"/>
              </w:rPr>
              <w:t xml:space="preserve"> connectors, but some of these also connect to parenteral syringes. If an oral liquid medication is drawn into a parenteral syringe, and the adapter is not applied, the medication could be administered IV. Medication also accumulates in a dead space, never reaching the patient.</w:t>
            </w:r>
          </w:p>
        </w:tc>
        <w:tc>
          <w:tcPr>
            <w:tcW w:w="3420" w:type="dxa"/>
            <w:tcBorders>
              <w:top w:val="single" w:sz="4" w:space="0" w:color="FF0000"/>
              <w:left w:val="single" w:sz="4" w:space="0" w:color="FF0000"/>
              <w:bottom w:val="single" w:sz="4" w:space="0" w:color="FF0000"/>
              <w:right w:val="single" w:sz="4" w:space="0" w:color="FF0000"/>
            </w:tcBorders>
            <w:shd w:val="clear" w:color="auto" w:fill="F0EBD3"/>
          </w:tcPr>
          <w:p w14:paraId="73178A8E" w14:textId="77777777" w:rsidR="00EF5DC1" w:rsidRPr="00A6023C" w:rsidRDefault="00EF5DC1" w:rsidP="003A75B3">
            <w:pPr>
              <w:pStyle w:val="HEADLINE"/>
              <w:suppressAutoHyphens w:val="0"/>
              <w:spacing w:line="240" w:lineRule="exact"/>
              <w:rPr>
                <w:rFonts w:asciiTheme="minorHAnsi" w:eastAsia="Univers LT Std 57 Cn" w:hAnsiTheme="minorHAnsi" w:cstheme="minorHAnsi"/>
                <w:b w:val="0"/>
                <w:spacing w:val="-2"/>
                <w:sz w:val="20"/>
              </w:rPr>
            </w:pPr>
            <w:r w:rsidRPr="00A6023C">
              <w:rPr>
                <w:rFonts w:asciiTheme="minorHAnsi" w:eastAsia="Univers LT Std 57 Cn" w:hAnsiTheme="minorHAnsi" w:cstheme="minorHAnsi"/>
                <w:b w:val="0"/>
                <w:spacing w:val="-2"/>
                <w:sz w:val="20"/>
              </w:rPr>
              <w:t xml:space="preserve">As soon as possible, fully convert to feeding tubes, oral syringes, and administration sets that use only integrated </w:t>
            </w:r>
            <w:proofErr w:type="spellStart"/>
            <w:r w:rsidRPr="00A6023C">
              <w:rPr>
                <w:rFonts w:asciiTheme="minorHAnsi" w:eastAsia="Univers LT Std 57 Cn" w:hAnsiTheme="minorHAnsi" w:cstheme="minorHAnsi"/>
                <w:b w:val="0"/>
                <w:spacing w:val="-2"/>
                <w:sz w:val="20"/>
              </w:rPr>
              <w:t>ENFit</w:t>
            </w:r>
            <w:proofErr w:type="spellEnd"/>
            <w:r w:rsidRPr="00A6023C">
              <w:rPr>
                <w:rFonts w:asciiTheme="minorHAnsi" w:eastAsia="Univers LT Std 57 Cn" w:hAnsiTheme="minorHAnsi" w:cstheme="minorHAnsi"/>
                <w:b w:val="0"/>
                <w:spacing w:val="-2"/>
                <w:sz w:val="20"/>
              </w:rPr>
              <w:t xml:space="preserve"> connectors. Adapters </w:t>
            </w:r>
            <w:r w:rsidRPr="00A6023C">
              <w:rPr>
                <w:rFonts w:asciiTheme="minorHAnsi" w:eastAsia="Univers LT Std 57 Cn" w:hAnsiTheme="minorHAnsi" w:cstheme="minorHAnsi"/>
                <w:b w:val="0"/>
                <w:i/>
                <w:spacing w:val="-2"/>
                <w:sz w:val="20"/>
              </w:rPr>
              <w:t xml:space="preserve">for syringes </w:t>
            </w:r>
            <w:r w:rsidRPr="00A6023C">
              <w:rPr>
                <w:rFonts w:asciiTheme="minorHAnsi" w:eastAsia="Univers LT Std 57 Cn" w:hAnsiTheme="minorHAnsi" w:cstheme="minorHAnsi"/>
                <w:b w:val="0"/>
                <w:spacing w:val="-2"/>
                <w:sz w:val="20"/>
              </w:rPr>
              <w:t>add risk and should not be used, especially if the adapter connects to parenteral syringes. Oral liquid medications should never be prepared or administered in parenteral syringes.</w:t>
            </w:r>
          </w:p>
        </w:tc>
        <w:tc>
          <w:tcPr>
            <w:tcW w:w="3330" w:type="dxa"/>
            <w:tcBorders>
              <w:top w:val="single" w:sz="4" w:space="0" w:color="FF0000"/>
              <w:left w:val="single" w:sz="4" w:space="0" w:color="FF0000"/>
              <w:bottom w:val="single" w:sz="4" w:space="0" w:color="FF0000"/>
              <w:right w:val="single" w:sz="4" w:space="0" w:color="FF0000"/>
            </w:tcBorders>
          </w:tcPr>
          <w:p w14:paraId="692B60B8" w14:textId="77777777" w:rsidR="00EF5DC1" w:rsidRPr="00A6023C" w:rsidRDefault="00EF5DC1"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402A6BDA" w14:textId="77777777" w:rsidR="00EF5DC1" w:rsidRPr="00A6023C" w:rsidRDefault="00EF5DC1"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36787173" w14:textId="77777777" w:rsidR="00EF5DC1" w:rsidRPr="00A6023C" w:rsidRDefault="00EF5DC1" w:rsidP="008C5601">
            <w:pPr>
              <w:pStyle w:val="AC-table-body"/>
              <w:tabs>
                <w:tab w:val="clear" w:pos="5735"/>
                <w:tab w:val="clear" w:pos="7906"/>
                <w:tab w:val="clear" w:pos="10080"/>
              </w:tabs>
              <w:rPr>
                <w:rFonts w:asciiTheme="minorHAnsi" w:hAnsiTheme="minorHAnsi" w:cstheme="minorHAnsi"/>
              </w:rPr>
            </w:pPr>
          </w:p>
        </w:tc>
      </w:tr>
      <w:tr w:rsidR="00915704" w:rsidRPr="00A6023C" w14:paraId="22754C13"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6728C75E" w14:textId="77777777" w:rsidR="00915704" w:rsidRPr="00A6023C" w:rsidRDefault="00EF5DC1" w:rsidP="006E3DFD">
            <w:pPr>
              <w:pStyle w:val="AGENDA-table-titles"/>
              <w:tabs>
                <w:tab w:val="clear" w:pos="5735"/>
                <w:tab w:val="clear" w:pos="7906"/>
                <w:tab w:val="clear" w:pos="10080"/>
              </w:tabs>
              <w:rPr>
                <w:rFonts w:asciiTheme="minorHAnsi" w:hAnsiTheme="minorHAnsi" w:cstheme="minorHAnsi"/>
                <w:sz w:val="20"/>
              </w:rPr>
            </w:pPr>
            <w:r w:rsidRPr="00A6023C">
              <w:rPr>
                <w:rFonts w:asciiTheme="minorHAnsi" w:hAnsiTheme="minorHAnsi" w:cstheme="minorHAnsi"/>
                <w:sz w:val="20"/>
              </w:rPr>
              <w:t>Mix-up between 0.9% sodium chloride and 3% sodium chloride</w:t>
            </w:r>
          </w:p>
        </w:tc>
      </w:tr>
      <w:tr w:rsidR="00EF5DC1" w:rsidRPr="00A6023C" w14:paraId="33FEF988" w14:textId="77777777" w:rsidTr="00D133D7">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08F43019" w14:textId="77777777" w:rsidR="00F8063D" w:rsidRPr="00A6023C" w:rsidRDefault="00EF5DC1" w:rsidP="00F8063D">
            <w:pPr>
              <w:pStyle w:val="AGENDA-body"/>
              <w:rPr>
                <w:rFonts w:asciiTheme="minorHAnsi" w:hAnsiTheme="minorHAnsi" w:cstheme="minorHAnsi"/>
              </w:rPr>
            </w:pPr>
            <w:r w:rsidRPr="00A6023C">
              <w:rPr>
                <w:rFonts w:asciiTheme="minorHAnsi" w:hAnsiTheme="minorHAnsi" w:cstheme="minorHAnsi"/>
                <w:spacing w:val="-2"/>
              </w:rPr>
              <w:t>(16)</w:t>
            </w:r>
            <w:r w:rsidR="00F8063D" w:rsidRPr="00A6023C">
              <w:rPr>
                <w:rFonts w:asciiTheme="minorHAnsi" w:hAnsiTheme="minorHAnsi" w:cstheme="minorHAnsi"/>
              </w:rPr>
              <w:t xml:space="preserve"> </w:t>
            </w:r>
          </w:p>
          <w:p w14:paraId="1AE5F598" w14:textId="77777777" w:rsidR="00EF5DC1" w:rsidRPr="00A6023C" w:rsidRDefault="00F8063D" w:rsidP="00F8063D">
            <w:pPr>
              <w:pStyle w:val="HEADLINE"/>
              <w:suppressAutoHyphens w:val="0"/>
              <w:spacing w:line="240" w:lineRule="exact"/>
              <w:rPr>
                <w:rFonts w:asciiTheme="minorHAnsi" w:eastAsia="Univers LT Std 57 Cn" w:hAnsiTheme="minorHAnsi" w:cstheme="minorHAnsi"/>
                <w:b w:val="0"/>
                <w:spacing w:val="-2"/>
                <w:sz w:val="20"/>
              </w:rPr>
            </w:pPr>
            <w:r w:rsidRPr="00A6023C">
              <w:rPr>
                <w:rFonts w:asciiTheme="minorHAnsi" w:hAnsiTheme="minorHAnsi" w:cstheme="minorHAnsi"/>
                <w:noProof/>
                <w:sz w:val="20"/>
                <w:lang w:bidi="ar-SA"/>
              </w:rPr>
              <w:drawing>
                <wp:inline distT="0" distB="0" distL="0" distR="0" wp14:anchorId="06F57F61" wp14:editId="13245680">
                  <wp:extent cx="152387" cy="12191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p w14:paraId="030B78C7" w14:textId="77777777" w:rsidR="00EF5DC1" w:rsidRPr="00A6023C" w:rsidRDefault="00EF5DC1" w:rsidP="003A75B3">
            <w:pPr>
              <w:rPr>
                <w:rFonts w:asciiTheme="minorHAnsi" w:eastAsia="Univers LT Std 57 Cn" w:hAnsiTheme="minorHAnsi" w:cstheme="minorHAnsi"/>
                <w:sz w:val="20"/>
              </w:rPr>
            </w:pPr>
          </w:p>
          <w:p w14:paraId="6A251261" w14:textId="77777777" w:rsidR="00EF5DC1" w:rsidRPr="00A6023C" w:rsidRDefault="00EF5DC1" w:rsidP="003A75B3">
            <w:pPr>
              <w:jc w:val="center"/>
              <w:rPr>
                <w:rFonts w:asciiTheme="minorHAnsi" w:eastAsia="Univers LT Std 57 Cn" w:hAnsiTheme="minorHAnsi" w:cstheme="minorHAnsi"/>
                <w:sz w:val="20"/>
              </w:rPr>
            </w:pPr>
          </w:p>
        </w:tc>
        <w:tc>
          <w:tcPr>
            <w:tcW w:w="3510" w:type="dxa"/>
            <w:tcBorders>
              <w:top w:val="single" w:sz="4" w:space="0" w:color="FF0000"/>
              <w:left w:val="single" w:sz="4" w:space="0" w:color="FF0000"/>
              <w:bottom w:val="single" w:sz="4" w:space="0" w:color="FF0000"/>
              <w:right w:val="single" w:sz="4" w:space="0" w:color="FF0000"/>
            </w:tcBorders>
            <w:shd w:val="clear" w:color="auto" w:fill="FFF3D6"/>
          </w:tcPr>
          <w:p w14:paraId="2B3EF3E6" w14:textId="77777777" w:rsidR="00EF5DC1" w:rsidRPr="00A6023C" w:rsidRDefault="00EF5DC1" w:rsidP="003A75B3">
            <w:pPr>
              <w:pStyle w:val="HEADLINE"/>
              <w:suppressAutoHyphens w:val="0"/>
              <w:spacing w:line="240" w:lineRule="exact"/>
              <w:rPr>
                <w:rFonts w:asciiTheme="minorHAnsi" w:eastAsia="Univers LT Std 57 Cn" w:hAnsiTheme="minorHAnsi" w:cstheme="minorHAnsi"/>
                <w:b w:val="0"/>
                <w:spacing w:val="-2"/>
                <w:sz w:val="20"/>
              </w:rPr>
            </w:pPr>
            <w:r w:rsidRPr="00A6023C">
              <w:rPr>
                <w:rFonts w:asciiTheme="minorHAnsi" w:eastAsia="Univers LT Std 57 Cn" w:hAnsiTheme="minorHAnsi" w:cstheme="minorHAnsi"/>
                <w:b w:val="0"/>
                <w:spacing w:val="-7"/>
                <w:sz w:val="20"/>
              </w:rPr>
              <w:t>Pharmacy staff accidentally stocked 500 mL bags of 3% sodium chloride instead of 0.9% sodium chloride in advanced life support emergency boxes. The bags looked nearly identical, especially with light reflecting off the plastic overwrap. The errors were discovered before the wrong bags were</w:t>
            </w:r>
            <w:r w:rsidRPr="00A6023C">
              <w:rPr>
                <w:rFonts w:asciiTheme="minorHAnsi" w:eastAsia="Univers LT Std 57 Cn" w:hAnsiTheme="minorHAnsi" w:cstheme="minorHAnsi"/>
                <w:b w:val="0"/>
                <w:spacing w:val="-2"/>
                <w:sz w:val="20"/>
              </w:rPr>
              <w:t xml:space="preserve"> used. </w:t>
            </w:r>
          </w:p>
          <w:p w14:paraId="291F952C" w14:textId="77777777" w:rsidR="00D133D7" w:rsidRPr="00A6023C" w:rsidRDefault="00D133D7" w:rsidP="003A75B3">
            <w:pPr>
              <w:pStyle w:val="HEADLINE"/>
              <w:suppressAutoHyphens w:val="0"/>
              <w:spacing w:line="240" w:lineRule="exact"/>
              <w:rPr>
                <w:rFonts w:asciiTheme="minorHAnsi" w:eastAsia="Univers LT Std 57 Cn" w:hAnsiTheme="minorHAnsi" w:cstheme="minorHAnsi"/>
                <w:b w:val="0"/>
                <w:spacing w:val="-2"/>
                <w:sz w:val="20"/>
              </w:rPr>
            </w:pPr>
          </w:p>
        </w:tc>
        <w:tc>
          <w:tcPr>
            <w:tcW w:w="3420" w:type="dxa"/>
            <w:tcBorders>
              <w:top w:val="single" w:sz="4" w:space="0" w:color="FF0000"/>
              <w:left w:val="single" w:sz="4" w:space="0" w:color="FF0000"/>
              <w:bottom w:val="single" w:sz="4" w:space="0" w:color="FF0000"/>
              <w:right w:val="single" w:sz="4" w:space="0" w:color="FF0000"/>
            </w:tcBorders>
            <w:shd w:val="clear" w:color="auto" w:fill="F0EBD3"/>
          </w:tcPr>
          <w:p w14:paraId="3BAA91ED" w14:textId="77777777" w:rsidR="00EF5DC1" w:rsidRPr="00A6023C" w:rsidRDefault="00EF5DC1" w:rsidP="003A75B3">
            <w:pPr>
              <w:pStyle w:val="HEADLINE"/>
              <w:suppressAutoHyphens w:val="0"/>
              <w:spacing w:line="240" w:lineRule="exact"/>
              <w:rPr>
                <w:rFonts w:asciiTheme="minorHAnsi" w:eastAsia="Univers LT Std 57 Cn" w:hAnsiTheme="minorHAnsi" w:cstheme="minorHAnsi"/>
                <w:b w:val="0"/>
                <w:spacing w:val="-2"/>
                <w:sz w:val="20"/>
              </w:rPr>
            </w:pPr>
            <w:r w:rsidRPr="00A6023C">
              <w:rPr>
                <w:rFonts w:asciiTheme="minorHAnsi" w:eastAsia="Univers LT Std 57 Cn" w:hAnsiTheme="minorHAnsi" w:cstheme="minorHAnsi"/>
                <w:b w:val="0"/>
                <w:spacing w:val="-6"/>
                <w:sz w:val="20"/>
              </w:rPr>
              <w:t xml:space="preserve">Segregate hypertonic saline solutions from all other IV solutions. When restocking emergency kits, consider using proprietary emergency kit processing software which ensures accuracy by incorporating radiofrequency identification so that only the proper medications are </w:t>
            </w:r>
            <w:r w:rsidRPr="00A6023C">
              <w:rPr>
                <w:rFonts w:asciiTheme="minorHAnsi" w:eastAsia="Univers LT Std 57 Cn" w:hAnsiTheme="minorHAnsi" w:cstheme="minorHAnsi"/>
                <w:b w:val="0"/>
                <w:spacing w:val="-2"/>
                <w:sz w:val="20"/>
              </w:rPr>
              <w:t xml:space="preserve">placed into the kits. </w:t>
            </w:r>
          </w:p>
        </w:tc>
        <w:tc>
          <w:tcPr>
            <w:tcW w:w="3330" w:type="dxa"/>
            <w:tcBorders>
              <w:top w:val="single" w:sz="4" w:space="0" w:color="FF0000"/>
              <w:left w:val="single" w:sz="4" w:space="0" w:color="FF0000"/>
              <w:bottom w:val="single" w:sz="4" w:space="0" w:color="FF0000"/>
              <w:right w:val="single" w:sz="4" w:space="0" w:color="FF0000"/>
            </w:tcBorders>
          </w:tcPr>
          <w:p w14:paraId="19ACFBE1" w14:textId="77777777" w:rsidR="00EF5DC1" w:rsidRPr="00A6023C" w:rsidRDefault="00EF5DC1"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1C47A4DB" w14:textId="77777777" w:rsidR="00EF5DC1" w:rsidRPr="00A6023C" w:rsidRDefault="00EF5DC1"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038C2F4B" w14:textId="77777777" w:rsidR="00EF5DC1" w:rsidRPr="00A6023C" w:rsidRDefault="00EF5DC1" w:rsidP="008C5601">
            <w:pPr>
              <w:pStyle w:val="AC-table-body"/>
              <w:tabs>
                <w:tab w:val="clear" w:pos="5735"/>
                <w:tab w:val="clear" w:pos="7906"/>
                <w:tab w:val="clear" w:pos="10080"/>
              </w:tabs>
              <w:rPr>
                <w:rFonts w:asciiTheme="minorHAnsi" w:hAnsiTheme="minorHAnsi" w:cstheme="minorHAnsi"/>
              </w:rPr>
            </w:pPr>
          </w:p>
        </w:tc>
      </w:tr>
      <w:tr w:rsidR="00915704" w:rsidRPr="00A6023C" w14:paraId="3D6CCCFF"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57B7B377" w14:textId="77777777" w:rsidR="00915704" w:rsidRPr="00A6023C" w:rsidRDefault="0032038B" w:rsidP="006E3DFD">
            <w:pPr>
              <w:pStyle w:val="AGENDA-table-titles"/>
              <w:tabs>
                <w:tab w:val="clear" w:pos="5735"/>
                <w:tab w:val="clear" w:pos="7906"/>
                <w:tab w:val="clear" w:pos="10080"/>
              </w:tabs>
              <w:rPr>
                <w:rFonts w:asciiTheme="minorHAnsi" w:hAnsiTheme="minorHAnsi" w:cstheme="minorHAnsi"/>
                <w:sz w:val="20"/>
              </w:rPr>
            </w:pPr>
            <w:r w:rsidRPr="00A6023C">
              <w:rPr>
                <w:rFonts w:asciiTheme="minorHAnsi" w:hAnsiTheme="minorHAnsi" w:cstheme="minorHAnsi"/>
                <w:sz w:val="20"/>
              </w:rPr>
              <w:t>Address workarounds and errors related to workflow management systems</w:t>
            </w:r>
          </w:p>
        </w:tc>
      </w:tr>
      <w:tr w:rsidR="0032038B" w:rsidRPr="00A6023C" w14:paraId="1669C24E" w14:textId="77777777" w:rsidTr="00D133D7">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12013AA4" w14:textId="77777777" w:rsidR="0032038B" w:rsidRPr="00A6023C" w:rsidRDefault="0032038B" w:rsidP="003A75B3">
            <w:pPr>
              <w:pStyle w:val="HEADLINE"/>
              <w:suppressAutoHyphens w:val="0"/>
              <w:spacing w:line="240" w:lineRule="exact"/>
              <w:rPr>
                <w:rFonts w:asciiTheme="minorHAnsi" w:eastAsia="Univers LT Std 57 Cn" w:hAnsiTheme="minorHAnsi" w:cstheme="minorHAnsi"/>
                <w:b w:val="0"/>
                <w:spacing w:val="-2"/>
                <w:sz w:val="20"/>
              </w:rPr>
            </w:pPr>
            <w:r w:rsidRPr="00A6023C">
              <w:rPr>
                <w:rFonts w:asciiTheme="minorHAnsi" w:eastAsia="Univers LT Std 57 Cn" w:hAnsiTheme="minorHAnsi" w:cstheme="minorHAnsi"/>
                <w:b w:val="0"/>
                <w:spacing w:val="-2"/>
                <w:sz w:val="20"/>
              </w:rPr>
              <w:t>(18)</w:t>
            </w:r>
          </w:p>
          <w:p w14:paraId="54335D8C" w14:textId="77777777" w:rsidR="0032038B" w:rsidRPr="00A6023C" w:rsidRDefault="0032038B" w:rsidP="003A75B3">
            <w:pPr>
              <w:rPr>
                <w:rFonts w:asciiTheme="minorHAnsi" w:eastAsia="Univers LT Std 57 Cn" w:hAnsiTheme="minorHAnsi" w:cstheme="minorHAnsi"/>
                <w:sz w:val="20"/>
              </w:rPr>
            </w:pPr>
          </w:p>
          <w:p w14:paraId="5198B7FF" w14:textId="77777777" w:rsidR="0032038B" w:rsidRPr="00A6023C" w:rsidRDefault="0032038B" w:rsidP="003A75B3">
            <w:pPr>
              <w:jc w:val="center"/>
              <w:rPr>
                <w:rFonts w:asciiTheme="minorHAnsi" w:eastAsia="Univers LT Std 57 Cn" w:hAnsiTheme="minorHAnsi" w:cstheme="minorHAnsi"/>
                <w:sz w:val="20"/>
              </w:rPr>
            </w:pPr>
          </w:p>
        </w:tc>
        <w:tc>
          <w:tcPr>
            <w:tcW w:w="3510" w:type="dxa"/>
            <w:tcBorders>
              <w:top w:val="single" w:sz="4" w:space="0" w:color="FF0000"/>
              <w:left w:val="single" w:sz="4" w:space="0" w:color="FF0000"/>
              <w:bottom w:val="single" w:sz="4" w:space="0" w:color="FF0000"/>
              <w:right w:val="single" w:sz="4" w:space="0" w:color="FF0000"/>
            </w:tcBorders>
            <w:shd w:val="clear" w:color="auto" w:fill="FFF3D6"/>
          </w:tcPr>
          <w:p w14:paraId="16E7DDE2" w14:textId="77777777" w:rsidR="0032038B" w:rsidRDefault="0032038B" w:rsidP="003A75B3">
            <w:pPr>
              <w:pStyle w:val="HEADLINE"/>
              <w:suppressAutoHyphens w:val="0"/>
              <w:spacing w:line="240" w:lineRule="exact"/>
              <w:rPr>
                <w:rFonts w:asciiTheme="minorHAnsi" w:eastAsia="Univers LT Std 57 Cn" w:hAnsiTheme="minorHAnsi" w:cstheme="minorHAnsi"/>
                <w:b w:val="0"/>
                <w:spacing w:val="-7"/>
                <w:sz w:val="20"/>
              </w:rPr>
            </w:pPr>
            <w:r w:rsidRPr="00A6023C">
              <w:rPr>
                <w:rFonts w:asciiTheme="minorHAnsi" w:eastAsia="Univers LT Std 57 Cn" w:hAnsiTheme="minorHAnsi" w:cstheme="minorHAnsi"/>
                <w:b w:val="0"/>
                <w:spacing w:val="-7"/>
                <w:sz w:val="20"/>
              </w:rPr>
              <w:t xml:space="preserve">Workarounds and errors associated with workflow management systems (WFMS) used when compounding sterile preparations have been reported and studied. Examples include: a reluctance to scan product barcodes due to time constraints; scanning just one vial when more than one vial is needed to compound the dose; using a spare bag and vial for scanning or image capture when batching multiple doses of the same product; and using the syringe pull-back method for image capture. </w:t>
            </w:r>
          </w:p>
          <w:p w14:paraId="74EFA572" w14:textId="77777777" w:rsidR="00A6023C" w:rsidRDefault="00A6023C" w:rsidP="003A75B3">
            <w:pPr>
              <w:pStyle w:val="HEADLINE"/>
              <w:suppressAutoHyphens w:val="0"/>
              <w:spacing w:line="240" w:lineRule="exact"/>
              <w:rPr>
                <w:rFonts w:asciiTheme="minorHAnsi" w:eastAsia="Univers LT Std 57 Cn" w:hAnsiTheme="minorHAnsi" w:cstheme="minorHAnsi"/>
                <w:b w:val="0"/>
                <w:spacing w:val="-7"/>
                <w:sz w:val="20"/>
              </w:rPr>
            </w:pPr>
          </w:p>
          <w:p w14:paraId="6AD7A04E" w14:textId="3BA2F076" w:rsidR="00A6023C" w:rsidRPr="00A6023C" w:rsidRDefault="00A6023C" w:rsidP="003A75B3">
            <w:pPr>
              <w:pStyle w:val="HEADLINE"/>
              <w:suppressAutoHyphens w:val="0"/>
              <w:spacing w:line="240" w:lineRule="exact"/>
              <w:rPr>
                <w:rFonts w:asciiTheme="minorHAnsi" w:eastAsia="Univers LT Std 57 Cn" w:hAnsiTheme="minorHAnsi" w:cstheme="minorHAnsi"/>
                <w:b w:val="0"/>
                <w:spacing w:val="-7"/>
                <w:sz w:val="20"/>
              </w:rPr>
            </w:pPr>
          </w:p>
        </w:tc>
        <w:tc>
          <w:tcPr>
            <w:tcW w:w="3420" w:type="dxa"/>
            <w:tcBorders>
              <w:top w:val="single" w:sz="4" w:space="0" w:color="FF0000"/>
              <w:left w:val="single" w:sz="4" w:space="0" w:color="FF0000"/>
              <w:bottom w:val="single" w:sz="4" w:space="0" w:color="FF0000"/>
              <w:right w:val="single" w:sz="4" w:space="0" w:color="FF0000"/>
            </w:tcBorders>
            <w:shd w:val="clear" w:color="auto" w:fill="F0EBD3"/>
          </w:tcPr>
          <w:p w14:paraId="6D2DB50A" w14:textId="77777777" w:rsidR="0032038B" w:rsidRPr="00A6023C" w:rsidRDefault="0032038B" w:rsidP="003A75B3">
            <w:pPr>
              <w:pStyle w:val="HEADLINE"/>
              <w:suppressAutoHyphens w:val="0"/>
              <w:spacing w:line="240" w:lineRule="exact"/>
              <w:rPr>
                <w:rFonts w:asciiTheme="minorHAnsi" w:eastAsia="Univers LT Std 57 Cn" w:hAnsiTheme="minorHAnsi" w:cstheme="minorHAnsi"/>
                <w:b w:val="0"/>
                <w:spacing w:val="-6"/>
                <w:sz w:val="20"/>
              </w:rPr>
            </w:pPr>
            <w:r w:rsidRPr="00A6023C">
              <w:rPr>
                <w:rFonts w:asciiTheme="minorHAnsi" w:eastAsia="Univers LT Std 57 Cn" w:hAnsiTheme="minorHAnsi" w:cstheme="minorHAnsi"/>
                <w:b w:val="0"/>
                <w:spacing w:val="-6"/>
                <w:sz w:val="20"/>
              </w:rPr>
              <w:t xml:space="preserve">Conduct a failure mode and effects analysis (FMEA) prior to WFMS implementation. Use gravimetric analysis and barcode scanning whenever possible. Avoid syringe pull-back verification (capture images of actual volumes in syringes), and use a prospective check for certain high-alert medications. Inspect the final product, and reject untrustworthy products. Coach staff to increase their perceptions of the risk associated with workarounds, and remedy equipment problems. </w:t>
            </w:r>
          </w:p>
          <w:p w14:paraId="0D871F45" w14:textId="77777777" w:rsidR="00D133D7" w:rsidRPr="00A6023C" w:rsidRDefault="00D133D7" w:rsidP="003A75B3">
            <w:pPr>
              <w:pStyle w:val="HEADLINE"/>
              <w:suppressAutoHyphens w:val="0"/>
              <w:spacing w:line="240" w:lineRule="exact"/>
              <w:rPr>
                <w:rFonts w:asciiTheme="minorHAnsi" w:eastAsia="Univers LT Std 57 Cn" w:hAnsiTheme="minorHAnsi" w:cstheme="minorHAnsi"/>
                <w:b w:val="0"/>
                <w:spacing w:val="-6"/>
                <w:sz w:val="20"/>
              </w:rPr>
            </w:pPr>
          </w:p>
        </w:tc>
        <w:tc>
          <w:tcPr>
            <w:tcW w:w="3330" w:type="dxa"/>
            <w:tcBorders>
              <w:top w:val="single" w:sz="4" w:space="0" w:color="FF0000"/>
              <w:left w:val="single" w:sz="4" w:space="0" w:color="FF0000"/>
              <w:bottom w:val="single" w:sz="4" w:space="0" w:color="FF0000"/>
              <w:right w:val="single" w:sz="4" w:space="0" w:color="FF0000"/>
            </w:tcBorders>
          </w:tcPr>
          <w:p w14:paraId="13C75D6E" w14:textId="77777777" w:rsidR="0032038B" w:rsidRPr="00A6023C" w:rsidRDefault="0032038B"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625803C0" w14:textId="77777777" w:rsidR="0032038B" w:rsidRPr="00A6023C" w:rsidRDefault="0032038B"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6594BED4" w14:textId="77777777" w:rsidR="0032038B" w:rsidRPr="00A6023C" w:rsidRDefault="0032038B" w:rsidP="008C5601">
            <w:pPr>
              <w:pStyle w:val="AC-table-body"/>
              <w:tabs>
                <w:tab w:val="clear" w:pos="5735"/>
                <w:tab w:val="clear" w:pos="7906"/>
                <w:tab w:val="clear" w:pos="10080"/>
              </w:tabs>
              <w:rPr>
                <w:rFonts w:asciiTheme="minorHAnsi" w:hAnsiTheme="minorHAnsi" w:cstheme="minorHAnsi"/>
              </w:rPr>
            </w:pPr>
          </w:p>
        </w:tc>
      </w:tr>
      <w:tr w:rsidR="00DB58A5" w:rsidRPr="00A6023C" w14:paraId="7DFA3ADA"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724FE467" w14:textId="77777777" w:rsidR="00DB58A5" w:rsidRPr="00A6023C" w:rsidRDefault="0032038B" w:rsidP="006E3DFD">
            <w:pPr>
              <w:pStyle w:val="AGENDA-table-titles"/>
              <w:tabs>
                <w:tab w:val="clear" w:pos="5735"/>
                <w:tab w:val="clear" w:pos="7906"/>
                <w:tab w:val="clear" w:pos="10080"/>
              </w:tabs>
              <w:rPr>
                <w:rFonts w:asciiTheme="minorHAnsi" w:hAnsiTheme="minorHAnsi" w:cstheme="minorHAnsi"/>
                <w:sz w:val="20"/>
              </w:rPr>
            </w:pPr>
            <w:bookmarkStart w:id="18" w:name="_GoBack"/>
            <w:r w:rsidRPr="00A6023C">
              <w:rPr>
                <w:rFonts w:asciiTheme="minorHAnsi" w:hAnsiTheme="minorHAnsi" w:cstheme="minorHAnsi"/>
                <w:sz w:val="20"/>
              </w:rPr>
              <w:lastRenderedPageBreak/>
              <w:t>Withdrawal symptoms from abrupt discontinuation of medications</w:t>
            </w:r>
          </w:p>
        </w:tc>
      </w:tr>
      <w:tr w:rsidR="0032038B" w:rsidRPr="00A6023C" w14:paraId="3CE27106" w14:textId="77777777" w:rsidTr="00D133D7">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03B0ABB8" w14:textId="77777777" w:rsidR="00F8063D" w:rsidRPr="00A6023C" w:rsidRDefault="0032038B" w:rsidP="00F8063D">
            <w:pPr>
              <w:pStyle w:val="AGENDA-body"/>
              <w:rPr>
                <w:rFonts w:asciiTheme="minorHAnsi" w:hAnsiTheme="minorHAnsi" w:cstheme="minorHAnsi"/>
              </w:rPr>
            </w:pPr>
            <w:r w:rsidRPr="00A6023C">
              <w:rPr>
                <w:rFonts w:asciiTheme="minorHAnsi" w:hAnsiTheme="minorHAnsi" w:cstheme="minorHAnsi"/>
                <w:spacing w:val="-2"/>
              </w:rPr>
              <w:t>(14)</w:t>
            </w:r>
            <w:r w:rsidR="00F8063D" w:rsidRPr="00A6023C">
              <w:rPr>
                <w:rFonts w:asciiTheme="minorHAnsi" w:hAnsiTheme="minorHAnsi" w:cstheme="minorHAnsi"/>
              </w:rPr>
              <w:t xml:space="preserve"> </w:t>
            </w:r>
          </w:p>
          <w:p w14:paraId="2BB86253" w14:textId="77777777" w:rsidR="0032038B" w:rsidRPr="00A6023C" w:rsidRDefault="00F8063D" w:rsidP="00F8063D">
            <w:pPr>
              <w:pStyle w:val="HEADLINE"/>
              <w:suppressAutoHyphens w:val="0"/>
              <w:spacing w:line="240" w:lineRule="exact"/>
              <w:rPr>
                <w:rFonts w:asciiTheme="minorHAnsi" w:eastAsia="Univers LT Std 57 Cn" w:hAnsiTheme="minorHAnsi" w:cstheme="minorHAnsi"/>
                <w:b w:val="0"/>
                <w:w w:val="99"/>
                <w:sz w:val="20"/>
              </w:rPr>
            </w:pPr>
            <w:r w:rsidRPr="00A6023C">
              <w:rPr>
                <w:rFonts w:asciiTheme="minorHAnsi" w:hAnsiTheme="minorHAnsi" w:cstheme="minorHAnsi"/>
                <w:noProof/>
                <w:sz w:val="20"/>
                <w:lang w:bidi="ar-SA"/>
              </w:rPr>
              <w:drawing>
                <wp:inline distT="0" distB="0" distL="0" distR="0" wp14:anchorId="7417310E" wp14:editId="38C1EE02">
                  <wp:extent cx="152387" cy="121910"/>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p w14:paraId="5BA0D1A2" w14:textId="77777777" w:rsidR="0032038B" w:rsidRPr="00A6023C" w:rsidRDefault="0032038B" w:rsidP="003A75B3">
            <w:pPr>
              <w:rPr>
                <w:rFonts w:asciiTheme="minorHAnsi" w:eastAsia="Univers LT Std 57 Cn" w:hAnsiTheme="minorHAnsi" w:cstheme="minorHAnsi"/>
                <w:sz w:val="20"/>
              </w:rPr>
            </w:pPr>
          </w:p>
          <w:p w14:paraId="439718A1" w14:textId="77777777" w:rsidR="0032038B" w:rsidRPr="00A6023C" w:rsidRDefault="0032038B" w:rsidP="003A75B3">
            <w:pPr>
              <w:rPr>
                <w:rFonts w:asciiTheme="minorHAnsi" w:eastAsia="Univers LT Std 57 Cn" w:hAnsiTheme="minorHAnsi" w:cstheme="minorHAnsi"/>
                <w:sz w:val="20"/>
              </w:rPr>
            </w:pPr>
          </w:p>
          <w:p w14:paraId="1698BE18" w14:textId="77777777" w:rsidR="0032038B" w:rsidRPr="00A6023C" w:rsidRDefault="0032038B" w:rsidP="003A75B3">
            <w:pPr>
              <w:rPr>
                <w:rFonts w:asciiTheme="minorHAnsi" w:eastAsia="Univers LT Std 57 Cn" w:hAnsiTheme="minorHAnsi" w:cstheme="minorHAnsi"/>
                <w:sz w:val="20"/>
              </w:rPr>
            </w:pPr>
          </w:p>
          <w:p w14:paraId="7CC15DE1" w14:textId="77777777" w:rsidR="0032038B" w:rsidRPr="00A6023C" w:rsidRDefault="0032038B" w:rsidP="003A75B3">
            <w:pPr>
              <w:rPr>
                <w:rFonts w:asciiTheme="minorHAnsi" w:eastAsia="Univers LT Std 57 Cn" w:hAnsiTheme="minorHAnsi" w:cstheme="minorHAnsi"/>
                <w:sz w:val="20"/>
              </w:rPr>
            </w:pPr>
          </w:p>
          <w:p w14:paraId="213B85AA" w14:textId="77777777" w:rsidR="0032038B" w:rsidRPr="00A6023C" w:rsidRDefault="0032038B" w:rsidP="003A75B3">
            <w:pPr>
              <w:rPr>
                <w:rFonts w:asciiTheme="minorHAnsi" w:eastAsia="Univers LT Std 57 Cn" w:hAnsiTheme="minorHAnsi" w:cstheme="minorHAnsi"/>
                <w:sz w:val="20"/>
              </w:rPr>
            </w:pPr>
          </w:p>
          <w:p w14:paraId="0383873B" w14:textId="77777777" w:rsidR="0032038B" w:rsidRPr="00A6023C" w:rsidRDefault="0032038B" w:rsidP="003A75B3">
            <w:pPr>
              <w:rPr>
                <w:rFonts w:asciiTheme="minorHAnsi" w:eastAsia="Univers LT Std 57 Cn" w:hAnsiTheme="minorHAnsi" w:cstheme="minorHAnsi"/>
                <w:sz w:val="20"/>
              </w:rPr>
            </w:pPr>
          </w:p>
          <w:p w14:paraId="67E785F3" w14:textId="77777777" w:rsidR="0032038B" w:rsidRPr="00A6023C" w:rsidRDefault="0032038B" w:rsidP="003A75B3">
            <w:pPr>
              <w:rPr>
                <w:rFonts w:asciiTheme="minorHAnsi" w:eastAsia="Univers LT Std 57 Cn" w:hAnsiTheme="minorHAnsi" w:cstheme="minorHAnsi"/>
                <w:sz w:val="20"/>
              </w:rPr>
            </w:pPr>
          </w:p>
          <w:p w14:paraId="380A98DD" w14:textId="77777777" w:rsidR="0032038B" w:rsidRPr="00A6023C" w:rsidRDefault="0032038B" w:rsidP="003A75B3">
            <w:pPr>
              <w:rPr>
                <w:rFonts w:asciiTheme="minorHAnsi" w:eastAsia="Univers LT Std 57 Cn" w:hAnsiTheme="minorHAnsi" w:cstheme="minorHAnsi"/>
                <w:sz w:val="20"/>
              </w:rPr>
            </w:pPr>
          </w:p>
          <w:p w14:paraId="09972B1C" w14:textId="77777777" w:rsidR="0032038B" w:rsidRPr="00A6023C" w:rsidRDefault="0032038B" w:rsidP="003A75B3">
            <w:pPr>
              <w:jc w:val="center"/>
              <w:rPr>
                <w:rFonts w:asciiTheme="minorHAnsi" w:eastAsia="Univers LT Std 57 Cn" w:hAnsiTheme="minorHAnsi" w:cstheme="minorHAnsi"/>
                <w:sz w:val="20"/>
              </w:rPr>
            </w:pPr>
          </w:p>
        </w:tc>
        <w:tc>
          <w:tcPr>
            <w:tcW w:w="3510" w:type="dxa"/>
            <w:tcBorders>
              <w:top w:val="single" w:sz="4" w:space="0" w:color="FF0000"/>
              <w:left w:val="single" w:sz="4" w:space="0" w:color="FF0000"/>
              <w:bottom w:val="single" w:sz="4" w:space="0" w:color="FF0000"/>
              <w:right w:val="single" w:sz="4" w:space="0" w:color="FF0000"/>
            </w:tcBorders>
            <w:shd w:val="clear" w:color="auto" w:fill="FFF3D6"/>
          </w:tcPr>
          <w:p w14:paraId="075D75F7" w14:textId="77777777" w:rsidR="0032038B" w:rsidRPr="00A6023C" w:rsidRDefault="0032038B" w:rsidP="003A75B3">
            <w:pPr>
              <w:pStyle w:val="HEADLINE"/>
              <w:suppressAutoHyphens w:val="0"/>
              <w:spacing w:line="240" w:lineRule="exact"/>
              <w:rPr>
                <w:rFonts w:asciiTheme="minorHAnsi" w:eastAsia="Univers LT Std 57 Cn" w:hAnsiTheme="minorHAnsi" w:cstheme="minorHAnsi"/>
                <w:b w:val="0"/>
                <w:spacing w:val="-7"/>
                <w:sz w:val="20"/>
              </w:rPr>
            </w:pPr>
            <w:r w:rsidRPr="00A6023C">
              <w:rPr>
                <w:rFonts w:asciiTheme="minorHAnsi" w:eastAsia="Univers LT Std 57 Cn" w:hAnsiTheme="minorHAnsi" w:cstheme="minorHAnsi"/>
                <w:b w:val="0"/>
                <w:spacing w:val="-7"/>
                <w:sz w:val="20"/>
              </w:rPr>
              <w:t xml:space="preserve">Drug withdrawal symptoms associated with stopping chronic opioids, antidepressants, certain anticonvulsants/neuropathic pain medications, antianxiety drugs, sedative/hypnotic drugs, antipsychotics, and various other medications are higher than previously estimated. For many of these drugs, prescribing information and consumer </w:t>
            </w:r>
            <w:r w:rsidRPr="00A6023C">
              <w:rPr>
                <w:rFonts w:asciiTheme="minorHAnsi" w:eastAsia="Univers LT Std 57 Cn" w:hAnsiTheme="minorHAnsi" w:cstheme="minorHAnsi"/>
                <w:b w:val="0"/>
                <w:i/>
                <w:spacing w:val="-7"/>
                <w:sz w:val="20"/>
              </w:rPr>
              <w:t xml:space="preserve">Medication Guides </w:t>
            </w:r>
            <w:r w:rsidRPr="00A6023C">
              <w:rPr>
                <w:rFonts w:asciiTheme="minorHAnsi" w:eastAsia="Univers LT Std 57 Cn" w:hAnsiTheme="minorHAnsi" w:cstheme="minorHAnsi"/>
                <w:b w:val="0"/>
                <w:spacing w:val="-7"/>
                <w:sz w:val="20"/>
              </w:rPr>
              <w:t>provide inadequate or misleading information on withdrawal symptoms.</w:t>
            </w:r>
          </w:p>
        </w:tc>
        <w:tc>
          <w:tcPr>
            <w:tcW w:w="3420" w:type="dxa"/>
            <w:tcBorders>
              <w:top w:val="single" w:sz="4" w:space="0" w:color="FF0000"/>
              <w:left w:val="single" w:sz="4" w:space="0" w:color="FF0000"/>
              <w:bottom w:val="single" w:sz="4" w:space="0" w:color="FF0000"/>
              <w:right w:val="single" w:sz="4" w:space="0" w:color="FF0000"/>
            </w:tcBorders>
            <w:shd w:val="clear" w:color="auto" w:fill="F0EBD3"/>
          </w:tcPr>
          <w:p w14:paraId="27833F54" w14:textId="77777777" w:rsidR="0032038B" w:rsidRPr="00A6023C" w:rsidRDefault="0032038B" w:rsidP="003A75B3">
            <w:pPr>
              <w:pStyle w:val="HEADLINE"/>
              <w:suppressAutoHyphens w:val="0"/>
              <w:spacing w:line="240" w:lineRule="exact"/>
              <w:rPr>
                <w:rFonts w:asciiTheme="minorHAnsi" w:eastAsia="Univers LT Std 57 Cn" w:hAnsiTheme="minorHAnsi" w:cstheme="minorHAnsi"/>
                <w:b w:val="0"/>
                <w:spacing w:val="-7"/>
                <w:sz w:val="20"/>
              </w:rPr>
            </w:pPr>
            <w:r w:rsidRPr="00A6023C">
              <w:rPr>
                <w:rFonts w:asciiTheme="minorHAnsi" w:eastAsia="Univers LT Std 57 Cn" w:hAnsiTheme="minorHAnsi" w:cstheme="minorHAnsi"/>
                <w:b w:val="0"/>
                <w:spacing w:val="-7"/>
                <w:sz w:val="20"/>
              </w:rPr>
              <w:t xml:space="preserve">Educate staff and patients to avoid abrupt discontinuation of opioids, antidepressants, anticonvulsants/neuropathic pain medications, antianxiety drugs, sedative/hypnotic drugs, and antipsychotics. If discontinued, monitor for potential withdrawal symptoms (e.g., nausea, dizziness, electric shock-like sensations, insomnia, anxiety, suicidal ideation). </w:t>
            </w:r>
          </w:p>
        </w:tc>
        <w:tc>
          <w:tcPr>
            <w:tcW w:w="3330" w:type="dxa"/>
            <w:tcBorders>
              <w:top w:val="single" w:sz="4" w:space="0" w:color="FF0000"/>
              <w:left w:val="single" w:sz="4" w:space="0" w:color="FF0000"/>
              <w:bottom w:val="single" w:sz="4" w:space="0" w:color="FF0000"/>
              <w:right w:val="single" w:sz="4" w:space="0" w:color="FF0000"/>
            </w:tcBorders>
          </w:tcPr>
          <w:p w14:paraId="71212EA3" w14:textId="77777777" w:rsidR="0032038B" w:rsidRPr="00A6023C" w:rsidRDefault="0032038B"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21071B1A" w14:textId="77777777" w:rsidR="0032038B" w:rsidRPr="00A6023C" w:rsidRDefault="0032038B"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28A77FE6" w14:textId="77777777" w:rsidR="0032038B" w:rsidRPr="00A6023C" w:rsidRDefault="0032038B" w:rsidP="008C5601">
            <w:pPr>
              <w:pStyle w:val="AC-table-body"/>
              <w:tabs>
                <w:tab w:val="clear" w:pos="5735"/>
                <w:tab w:val="clear" w:pos="7906"/>
                <w:tab w:val="clear" w:pos="10080"/>
              </w:tabs>
              <w:rPr>
                <w:rFonts w:asciiTheme="minorHAnsi" w:hAnsiTheme="minorHAnsi" w:cstheme="minorHAnsi"/>
              </w:rPr>
            </w:pPr>
          </w:p>
        </w:tc>
      </w:tr>
      <w:tr w:rsidR="00DB58A5" w:rsidRPr="00A6023C" w14:paraId="418AE418"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5616BE2F" w14:textId="77777777" w:rsidR="00DB58A5" w:rsidRPr="00A6023C" w:rsidRDefault="00EB2CF0" w:rsidP="006E3DFD">
            <w:pPr>
              <w:pStyle w:val="AGENDA-table-titles"/>
              <w:tabs>
                <w:tab w:val="clear" w:pos="5735"/>
                <w:tab w:val="clear" w:pos="7906"/>
                <w:tab w:val="clear" w:pos="10080"/>
              </w:tabs>
              <w:rPr>
                <w:rFonts w:asciiTheme="minorHAnsi" w:hAnsiTheme="minorHAnsi" w:cstheme="minorHAnsi"/>
                <w:sz w:val="20"/>
              </w:rPr>
            </w:pPr>
            <w:r w:rsidRPr="00A6023C">
              <w:rPr>
                <w:rFonts w:asciiTheme="minorHAnsi" w:hAnsiTheme="minorHAnsi" w:cstheme="minorHAnsi"/>
                <w:sz w:val="20"/>
              </w:rPr>
              <w:t>Risk of acute hemorrhage with oral anticoagulants</w:t>
            </w:r>
          </w:p>
        </w:tc>
      </w:tr>
      <w:tr w:rsidR="0032038B" w:rsidRPr="00A6023C" w14:paraId="5DE33A59" w14:textId="77777777" w:rsidTr="00D133D7">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085D5074" w14:textId="77777777" w:rsidR="00F8063D" w:rsidRPr="00A6023C" w:rsidRDefault="0032038B" w:rsidP="00F8063D">
            <w:pPr>
              <w:pStyle w:val="AGENDA-body"/>
              <w:rPr>
                <w:rFonts w:asciiTheme="minorHAnsi" w:hAnsiTheme="minorHAnsi" w:cstheme="minorHAnsi"/>
              </w:rPr>
            </w:pPr>
            <w:r w:rsidRPr="00A6023C">
              <w:rPr>
                <w:rFonts w:asciiTheme="minorHAnsi" w:hAnsiTheme="minorHAnsi" w:cstheme="minorHAnsi"/>
                <w:spacing w:val="-2"/>
              </w:rPr>
              <w:t>(15)</w:t>
            </w:r>
            <w:r w:rsidR="00F8063D" w:rsidRPr="00A6023C">
              <w:rPr>
                <w:rFonts w:asciiTheme="minorHAnsi" w:hAnsiTheme="minorHAnsi" w:cstheme="minorHAnsi"/>
              </w:rPr>
              <w:t xml:space="preserve"> </w:t>
            </w:r>
          </w:p>
          <w:p w14:paraId="7EE41C8C" w14:textId="77777777" w:rsidR="0032038B" w:rsidRPr="00A6023C" w:rsidRDefault="00F8063D" w:rsidP="00F8063D">
            <w:pPr>
              <w:pStyle w:val="HEADLINE"/>
              <w:suppressAutoHyphens w:val="0"/>
              <w:spacing w:line="240" w:lineRule="exact"/>
              <w:rPr>
                <w:rFonts w:asciiTheme="minorHAnsi" w:eastAsia="Univers LT Std 57 Cn" w:hAnsiTheme="minorHAnsi" w:cstheme="minorHAnsi"/>
                <w:b w:val="0"/>
                <w:w w:val="99"/>
                <w:sz w:val="20"/>
              </w:rPr>
            </w:pPr>
            <w:r w:rsidRPr="00A6023C">
              <w:rPr>
                <w:rFonts w:asciiTheme="minorHAnsi" w:hAnsiTheme="minorHAnsi" w:cstheme="minorHAnsi"/>
                <w:noProof/>
                <w:sz w:val="20"/>
                <w:lang w:bidi="ar-SA"/>
              </w:rPr>
              <w:drawing>
                <wp:inline distT="0" distB="0" distL="0" distR="0" wp14:anchorId="02D48963" wp14:editId="2EA75975">
                  <wp:extent cx="152387" cy="12191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da safety icon-alert.png"/>
                          <pic:cNvPicPr/>
                        </pic:nvPicPr>
                        <pic:blipFill>
                          <a:blip r:embed="rId10">
                            <a:extLst>
                              <a:ext uri="{28A0092B-C50C-407E-A947-70E740481C1C}">
                                <a14:useLocalDpi xmlns:a14="http://schemas.microsoft.com/office/drawing/2010/main" val="0"/>
                              </a:ext>
                            </a:extLst>
                          </a:blip>
                          <a:stretch>
                            <a:fillRect/>
                          </a:stretch>
                        </pic:blipFill>
                        <pic:spPr>
                          <a:xfrm>
                            <a:off x="0" y="0"/>
                            <a:ext cx="152387" cy="121910"/>
                          </a:xfrm>
                          <a:prstGeom prst="rect">
                            <a:avLst/>
                          </a:prstGeom>
                        </pic:spPr>
                      </pic:pic>
                    </a:graphicData>
                  </a:graphic>
                </wp:inline>
              </w:drawing>
            </w:r>
          </w:p>
          <w:p w14:paraId="10281FB9" w14:textId="77777777" w:rsidR="0032038B" w:rsidRPr="00A6023C" w:rsidRDefault="0032038B" w:rsidP="003A75B3">
            <w:pPr>
              <w:rPr>
                <w:rFonts w:asciiTheme="minorHAnsi" w:eastAsia="Univers LT Std 57 Cn" w:hAnsiTheme="minorHAnsi" w:cstheme="minorHAnsi"/>
                <w:sz w:val="20"/>
              </w:rPr>
            </w:pPr>
          </w:p>
          <w:p w14:paraId="6E55AF3B" w14:textId="77777777" w:rsidR="0032038B" w:rsidRPr="00A6023C" w:rsidRDefault="0032038B" w:rsidP="003A75B3">
            <w:pPr>
              <w:rPr>
                <w:rFonts w:asciiTheme="minorHAnsi" w:eastAsia="Univers LT Std 57 Cn" w:hAnsiTheme="minorHAnsi" w:cstheme="minorHAnsi"/>
                <w:sz w:val="20"/>
              </w:rPr>
            </w:pPr>
          </w:p>
          <w:p w14:paraId="68305F05" w14:textId="77777777" w:rsidR="0032038B" w:rsidRPr="00A6023C" w:rsidRDefault="0032038B" w:rsidP="003A75B3">
            <w:pPr>
              <w:rPr>
                <w:rFonts w:asciiTheme="minorHAnsi" w:eastAsia="Univers LT Std 57 Cn" w:hAnsiTheme="minorHAnsi" w:cstheme="minorHAnsi"/>
                <w:sz w:val="20"/>
              </w:rPr>
            </w:pPr>
          </w:p>
          <w:p w14:paraId="22BA34EF" w14:textId="77777777" w:rsidR="0032038B" w:rsidRPr="00A6023C" w:rsidRDefault="0032038B" w:rsidP="003A75B3">
            <w:pPr>
              <w:rPr>
                <w:rFonts w:asciiTheme="minorHAnsi" w:eastAsia="Univers LT Std 57 Cn" w:hAnsiTheme="minorHAnsi" w:cstheme="minorHAnsi"/>
                <w:sz w:val="20"/>
              </w:rPr>
            </w:pPr>
          </w:p>
          <w:p w14:paraId="5C8D80CD" w14:textId="77777777" w:rsidR="0032038B" w:rsidRPr="00A6023C" w:rsidRDefault="0032038B" w:rsidP="003A75B3">
            <w:pPr>
              <w:jc w:val="center"/>
              <w:rPr>
                <w:rFonts w:asciiTheme="minorHAnsi" w:eastAsia="Univers LT Std 57 Cn" w:hAnsiTheme="minorHAnsi" w:cstheme="minorHAnsi"/>
                <w:sz w:val="20"/>
              </w:rPr>
            </w:pPr>
          </w:p>
        </w:tc>
        <w:tc>
          <w:tcPr>
            <w:tcW w:w="3510" w:type="dxa"/>
            <w:tcBorders>
              <w:top w:val="single" w:sz="4" w:space="0" w:color="FF0000"/>
              <w:left w:val="single" w:sz="4" w:space="0" w:color="FF0000"/>
              <w:bottom w:val="single" w:sz="4" w:space="0" w:color="FF0000"/>
              <w:right w:val="single" w:sz="4" w:space="0" w:color="FF0000"/>
            </w:tcBorders>
            <w:shd w:val="clear" w:color="auto" w:fill="FFF3D6"/>
          </w:tcPr>
          <w:p w14:paraId="3B93195B" w14:textId="77777777" w:rsidR="0032038B" w:rsidRPr="00A6023C" w:rsidRDefault="0032038B" w:rsidP="003A75B3">
            <w:pPr>
              <w:pStyle w:val="HEADLINE"/>
              <w:suppressAutoHyphens w:val="0"/>
              <w:spacing w:line="240" w:lineRule="exact"/>
              <w:rPr>
                <w:rFonts w:asciiTheme="minorHAnsi" w:eastAsia="Univers LT Std 57 Cn" w:hAnsiTheme="minorHAnsi" w:cstheme="minorHAnsi"/>
                <w:b w:val="0"/>
                <w:spacing w:val="-2"/>
                <w:sz w:val="20"/>
              </w:rPr>
            </w:pPr>
            <w:r w:rsidRPr="00A6023C">
              <w:rPr>
                <w:rFonts w:asciiTheme="minorHAnsi" w:eastAsia="Univers LT Std 57 Cn" w:hAnsiTheme="minorHAnsi" w:cstheme="minorHAnsi"/>
                <w:b w:val="0"/>
                <w:spacing w:val="-7"/>
                <w:sz w:val="20"/>
              </w:rPr>
              <w:t xml:space="preserve">Harm from anticoagulants ranks as one of the highest priority problems in 2016. Adverse effects from anticoagulants account for more emergency department (ED) visits than any other drug class (17.6%), with almost half requiring hospitalization. Adverse events with the new oral anticoagulants have also raised questions regarding their safety (e.g., excess bleeding in the elderly with dabigatran; variable anticoagulation throughout the day with </w:t>
            </w:r>
            <w:r w:rsidRPr="00A6023C">
              <w:rPr>
                <w:rFonts w:asciiTheme="minorHAnsi" w:eastAsia="Univers LT Std 57 Cn" w:hAnsiTheme="minorHAnsi" w:cstheme="minorHAnsi"/>
                <w:b w:val="0"/>
                <w:spacing w:val="-2"/>
                <w:sz w:val="20"/>
              </w:rPr>
              <w:t xml:space="preserve">daily dosing of </w:t>
            </w:r>
            <w:r w:rsidRPr="00A6023C">
              <w:rPr>
                <w:rFonts w:asciiTheme="minorHAnsi" w:eastAsia="Univers LT Std 57 Cn" w:hAnsiTheme="minorHAnsi" w:cstheme="minorHAnsi"/>
                <w:b w:val="0"/>
                <w:spacing w:val="-7"/>
                <w:sz w:val="20"/>
              </w:rPr>
              <w:t>rivaroxaban</w:t>
            </w:r>
            <w:r w:rsidRPr="00A6023C">
              <w:rPr>
                <w:rFonts w:asciiTheme="minorHAnsi" w:eastAsia="Univers LT Std 57 Cn" w:hAnsiTheme="minorHAnsi" w:cstheme="minorHAnsi"/>
                <w:b w:val="0"/>
                <w:spacing w:val="-2"/>
                <w:sz w:val="20"/>
              </w:rPr>
              <w:t xml:space="preserve">; an antidote only for dabigatran).    </w:t>
            </w:r>
          </w:p>
        </w:tc>
        <w:tc>
          <w:tcPr>
            <w:tcW w:w="3420" w:type="dxa"/>
            <w:tcBorders>
              <w:top w:val="single" w:sz="4" w:space="0" w:color="FF0000"/>
              <w:left w:val="single" w:sz="4" w:space="0" w:color="FF0000"/>
              <w:bottom w:val="single" w:sz="4" w:space="0" w:color="FF0000"/>
              <w:right w:val="single" w:sz="4" w:space="0" w:color="FF0000"/>
            </w:tcBorders>
            <w:shd w:val="clear" w:color="auto" w:fill="F0EBD3"/>
          </w:tcPr>
          <w:p w14:paraId="15408C95" w14:textId="77777777" w:rsidR="0032038B" w:rsidRPr="00A6023C" w:rsidRDefault="0032038B" w:rsidP="003A75B3">
            <w:pPr>
              <w:pStyle w:val="HEADLINE"/>
              <w:suppressAutoHyphens w:val="0"/>
              <w:spacing w:line="240" w:lineRule="exact"/>
              <w:rPr>
                <w:rFonts w:asciiTheme="minorHAnsi" w:eastAsia="Univers LT Std 57 Cn" w:hAnsiTheme="minorHAnsi" w:cstheme="minorHAnsi"/>
                <w:b w:val="0"/>
                <w:spacing w:val="-7"/>
                <w:sz w:val="20"/>
              </w:rPr>
            </w:pPr>
            <w:r w:rsidRPr="00A6023C">
              <w:rPr>
                <w:rFonts w:asciiTheme="minorHAnsi" w:eastAsia="Univers LT Std 57 Cn" w:hAnsiTheme="minorHAnsi" w:cstheme="minorHAnsi"/>
                <w:b w:val="0"/>
                <w:spacing w:val="-7"/>
                <w:sz w:val="20"/>
              </w:rPr>
              <w:t>Ensure staff are trained and prepared for anticoagulant hemorrhages in the ED. Review prescribing trends and patient risks within the cardiology/ hematology community, and establish guidelines for prescribing these medications to minimize the risk to the patient. Take steps to ensure that the ease-of-use of the direct oral anticoagulants does not lead to their overuse, especially in atrial fibrillation patients at lower risk of ischemic stroke, and in older patients with the highest bleeding risks.</w:t>
            </w:r>
          </w:p>
        </w:tc>
        <w:tc>
          <w:tcPr>
            <w:tcW w:w="3330" w:type="dxa"/>
            <w:tcBorders>
              <w:top w:val="single" w:sz="4" w:space="0" w:color="FF0000"/>
              <w:left w:val="single" w:sz="4" w:space="0" w:color="FF0000"/>
              <w:bottom w:val="single" w:sz="4" w:space="0" w:color="FF0000"/>
              <w:right w:val="single" w:sz="4" w:space="0" w:color="FF0000"/>
            </w:tcBorders>
          </w:tcPr>
          <w:p w14:paraId="685DDF68" w14:textId="77777777" w:rsidR="0032038B" w:rsidRPr="00A6023C" w:rsidRDefault="0032038B"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74508A38" w14:textId="77777777" w:rsidR="0032038B" w:rsidRPr="00A6023C" w:rsidRDefault="0032038B"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50D386B2" w14:textId="77777777" w:rsidR="0032038B" w:rsidRPr="00A6023C" w:rsidRDefault="0032038B" w:rsidP="008C5601">
            <w:pPr>
              <w:pStyle w:val="AC-table-body"/>
              <w:tabs>
                <w:tab w:val="clear" w:pos="5735"/>
                <w:tab w:val="clear" w:pos="7906"/>
                <w:tab w:val="clear" w:pos="10080"/>
              </w:tabs>
              <w:rPr>
                <w:rFonts w:asciiTheme="minorHAnsi" w:hAnsiTheme="minorHAnsi" w:cstheme="minorHAnsi"/>
              </w:rPr>
            </w:pPr>
          </w:p>
        </w:tc>
      </w:tr>
      <w:tr w:rsidR="004A5A50" w:rsidRPr="00A6023C" w14:paraId="15AF46A2" w14:textId="77777777" w:rsidTr="008C5601">
        <w:trPr>
          <w:jc w:val="center"/>
        </w:trPr>
        <w:tc>
          <w:tcPr>
            <w:tcW w:w="14688" w:type="dxa"/>
            <w:gridSpan w:val="6"/>
            <w:tcBorders>
              <w:top w:val="single" w:sz="4" w:space="0" w:color="FF0000"/>
              <w:left w:val="single" w:sz="4" w:space="0" w:color="FF0000"/>
              <w:bottom w:val="single" w:sz="4" w:space="0" w:color="FF0000"/>
              <w:right w:val="single" w:sz="4" w:space="0" w:color="FF0000"/>
            </w:tcBorders>
            <w:shd w:val="clear" w:color="auto" w:fill="EACB8B"/>
          </w:tcPr>
          <w:p w14:paraId="71424072" w14:textId="77777777" w:rsidR="004A5A50" w:rsidRPr="00A6023C" w:rsidRDefault="009F24A8" w:rsidP="00761130">
            <w:pPr>
              <w:pStyle w:val="AGENDA-table-titles"/>
              <w:tabs>
                <w:tab w:val="clear" w:pos="5735"/>
                <w:tab w:val="clear" w:pos="7906"/>
                <w:tab w:val="clear" w:pos="10080"/>
              </w:tabs>
              <w:rPr>
                <w:rFonts w:asciiTheme="minorHAnsi" w:hAnsiTheme="minorHAnsi" w:cstheme="minorHAnsi"/>
                <w:sz w:val="20"/>
              </w:rPr>
            </w:pPr>
            <w:r w:rsidRPr="00A6023C">
              <w:rPr>
                <w:rFonts w:asciiTheme="minorHAnsi" w:hAnsiTheme="minorHAnsi" w:cstheme="minorHAnsi"/>
                <w:sz w:val="20"/>
              </w:rPr>
              <w:t>Multifactorial causes of tacrolimus errors</w:t>
            </w:r>
          </w:p>
        </w:tc>
      </w:tr>
      <w:tr w:rsidR="009F24A8" w:rsidRPr="00A6023C" w14:paraId="72D03B16" w14:textId="77777777" w:rsidTr="00D133D7">
        <w:trPr>
          <w:jc w:val="center"/>
        </w:trPr>
        <w:tc>
          <w:tcPr>
            <w:tcW w:w="612" w:type="dxa"/>
            <w:tcBorders>
              <w:top w:val="single" w:sz="4" w:space="0" w:color="FF0000"/>
              <w:left w:val="single" w:sz="4" w:space="0" w:color="FF0000"/>
              <w:bottom w:val="single" w:sz="4" w:space="0" w:color="FF0000"/>
              <w:right w:val="single" w:sz="4" w:space="0" w:color="FF0000"/>
            </w:tcBorders>
            <w:shd w:val="clear" w:color="auto" w:fill="F0EBD3"/>
          </w:tcPr>
          <w:p w14:paraId="00357A04" w14:textId="77777777" w:rsidR="009F24A8" w:rsidRPr="00A6023C" w:rsidRDefault="009F24A8" w:rsidP="003A75B3">
            <w:pPr>
              <w:pStyle w:val="HEADLINE"/>
              <w:suppressAutoHyphens w:val="0"/>
              <w:spacing w:line="240" w:lineRule="exact"/>
              <w:rPr>
                <w:rFonts w:asciiTheme="minorHAnsi" w:eastAsia="Univers LT Std 57 Cn" w:hAnsiTheme="minorHAnsi" w:cstheme="minorHAnsi"/>
                <w:b w:val="0"/>
                <w:w w:val="99"/>
                <w:sz w:val="20"/>
              </w:rPr>
            </w:pPr>
            <w:r w:rsidRPr="00A6023C">
              <w:rPr>
                <w:rFonts w:asciiTheme="minorHAnsi" w:eastAsia="Univers LT Std 57 Cn" w:hAnsiTheme="minorHAnsi" w:cstheme="minorHAnsi"/>
                <w:b w:val="0"/>
                <w:spacing w:val="-2"/>
                <w:sz w:val="20"/>
              </w:rPr>
              <w:t>(16, 17)</w:t>
            </w:r>
          </w:p>
          <w:p w14:paraId="1E9691AB" w14:textId="77777777" w:rsidR="009F24A8" w:rsidRPr="00A6023C" w:rsidRDefault="009F24A8" w:rsidP="003A75B3">
            <w:pPr>
              <w:rPr>
                <w:rFonts w:asciiTheme="minorHAnsi" w:eastAsia="Univers LT Std 57 Cn" w:hAnsiTheme="minorHAnsi" w:cstheme="minorHAnsi"/>
                <w:sz w:val="20"/>
              </w:rPr>
            </w:pPr>
          </w:p>
          <w:p w14:paraId="115F1907" w14:textId="77777777" w:rsidR="009F24A8" w:rsidRPr="00A6023C" w:rsidRDefault="009F24A8" w:rsidP="003A75B3">
            <w:pPr>
              <w:rPr>
                <w:rFonts w:asciiTheme="minorHAnsi" w:eastAsia="Univers LT Std 57 Cn" w:hAnsiTheme="minorHAnsi" w:cstheme="minorHAnsi"/>
                <w:sz w:val="20"/>
              </w:rPr>
            </w:pPr>
          </w:p>
          <w:p w14:paraId="084FE37C" w14:textId="77777777" w:rsidR="009F24A8" w:rsidRPr="00A6023C" w:rsidRDefault="009F24A8" w:rsidP="003A75B3">
            <w:pPr>
              <w:rPr>
                <w:rFonts w:asciiTheme="minorHAnsi" w:eastAsia="Univers LT Std 57 Cn" w:hAnsiTheme="minorHAnsi" w:cstheme="minorHAnsi"/>
                <w:sz w:val="20"/>
              </w:rPr>
            </w:pPr>
          </w:p>
          <w:p w14:paraId="7BD6B986" w14:textId="77777777" w:rsidR="009F24A8" w:rsidRPr="00A6023C" w:rsidRDefault="009F24A8" w:rsidP="003A75B3">
            <w:pPr>
              <w:rPr>
                <w:rFonts w:asciiTheme="minorHAnsi" w:eastAsia="Univers LT Std 57 Cn" w:hAnsiTheme="minorHAnsi" w:cstheme="minorHAnsi"/>
                <w:sz w:val="20"/>
              </w:rPr>
            </w:pPr>
          </w:p>
          <w:p w14:paraId="779853B2" w14:textId="77777777" w:rsidR="009F24A8" w:rsidRPr="00A6023C" w:rsidRDefault="009F24A8" w:rsidP="003A75B3">
            <w:pPr>
              <w:jc w:val="center"/>
              <w:rPr>
                <w:rFonts w:asciiTheme="minorHAnsi" w:eastAsia="Univers LT Std 57 Cn" w:hAnsiTheme="minorHAnsi" w:cstheme="minorHAnsi"/>
                <w:sz w:val="20"/>
              </w:rPr>
            </w:pPr>
          </w:p>
        </w:tc>
        <w:tc>
          <w:tcPr>
            <w:tcW w:w="3510" w:type="dxa"/>
            <w:tcBorders>
              <w:top w:val="single" w:sz="4" w:space="0" w:color="FF0000"/>
              <w:left w:val="single" w:sz="4" w:space="0" w:color="FF0000"/>
              <w:bottom w:val="single" w:sz="4" w:space="0" w:color="FF0000"/>
              <w:right w:val="single" w:sz="4" w:space="0" w:color="FF0000"/>
            </w:tcBorders>
            <w:shd w:val="clear" w:color="auto" w:fill="FFF3D6"/>
          </w:tcPr>
          <w:p w14:paraId="29CFC3FC" w14:textId="77777777" w:rsidR="009F24A8" w:rsidRPr="00A6023C" w:rsidRDefault="009F24A8" w:rsidP="003A75B3">
            <w:pPr>
              <w:pStyle w:val="HEADLINE"/>
              <w:suppressAutoHyphens w:val="0"/>
              <w:spacing w:line="240" w:lineRule="exact"/>
              <w:rPr>
                <w:rFonts w:asciiTheme="minorHAnsi" w:eastAsia="Univers LT Std 57 Cn" w:hAnsiTheme="minorHAnsi" w:cstheme="minorHAnsi"/>
                <w:b w:val="0"/>
                <w:spacing w:val="-6"/>
                <w:sz w:val="20"/>
              </w:rPr>
            </w:pPr>
            <w:r w:rsidRPr="00A6023C">
              <w:rPr>
                <w:rFonts w:asciiTheme="minorHAnsi" w:eastAsia="Univers LT Std 57 Cn" w:hAnsiTheme="minorHAnsi" w:cstheme="minorHAnsi"/>
                <w:b w:val="0"/>
                <w:spacing w:val="-6"/>
                <w:sz w:val="20"/>
              </w:rPr>
              <w:t xml:space="preserve">Tacrolimus has been confused with </w:t>
            </w:r>
            <w:proofErr w:type="spellStart"/>
            <w:r w:rsidRPr="00A6023C">
              <w:rPr>
                <w:rFonts w:asciiTheme="minorHAnsi" w:eastAsia="Univers LT Std 57 Cn" w:hAnsiTheme="minorHAnsi" w:cstheme="minorHAnsi"/>
                <w:b w:val="0"/>
                <w:spacing w:val="-6"/>
                <w:sz w:val="20"/>
              </w:rPr>
              <w:t>tamsulosin</w:t>
            </w:r>
            <w:proofErr w:type="spellEnd"/>
            <w:r w:rsidRPr="00A6023C">
              <w:rPr>
                <w:rFonts w:asciiTheme="minorHAnsi" w:eastAsia="Univers LT Std 57 Cn" w:hAnsiTheme="minorHAnsi" w:cstheme="minorHAnsi"/>
                <w:b w:val="0"/>
                <w:spacing w:val="-6"/>
                <w:sz w:val="20"/>
              </w:rPr>
              <w:t xml:space="preserve">, and mix-ups between the 0.5 mg and 5 mg strengths of tacrolimus or between the regular-release and extended-release formulations are common. The extended-release, </w:t>
            </w:r>
            <w:r w:rsidRPr="00A6023C">
              <w:rPr>
                <w:rFonts w:asciiTheme="minorHAnsi" w:eastAsia="Univers LT Std 57 Cn" w:hAnsiTheme="minorHAnsi" w:cstheme="minorHAnsi"/>
                <w:spacing w:val="-6"/>
                <w:sz w:val="20"/>
              </w:rPr>
              <w:t>ASTAGRAF XL</w:t>
            </w:r>
            <w:r w:rsidRPr="00A6023C">
              <w:rPr>
                <w:rFonts w:asciiTheme="minorHAnsi" w:eastAsia="Univers LT Std 57 Cn" w:hAnsiTheme="minorHAnsi" w:cstheme="minorHAnsi"/>
                <w:b w:val="0"/>
                <w:spacing w:val="-6"/>
                <w:sz w:val="20"/>
              </w:rPr>
              <w:t xml:space="preserve">, comes with a label that lists “ONCE DAILY” below the drug name, which patients have confused to mean they should take just one capsule daily when several were needed for each dose. </w:t>
            </w:r>
          </w:p>
        </w:tc>
        <w:tc>
          <w:tcPr>
            <w:tcW w:w="3420" w:type="dxa"/>
            <w:tcBorders>
              <w:top w:val="single" w:sz="4" w:space="0" w:color="FF0000"/>
              <w:left w:val="single" w:sz="4" w:space="0" w:color="FF0000"/>
              <w:bottom w:val="single" w:sz="4" w:space="0" w:color="FF0000"/>
              <w:right w:val="single" w:sz="4" w:space="0" w:color="FF0000"/>
            </w:tcBorders>
            <w:shd w:val="clear" w:color="auto" w:fill="F0EBD3"/>
          </w:tcPr>
          <w:p w14:paraId="229E58D0" w14:textId="77777777" w:rsidR="009F24A8" w:rsidRPr="00A6023C" w:rsidRDefault="009F24A8" w:rsidP="003A75B3">
            <w:pPr>
              <w:pStyle w:val="HEADLINE"/>
              <w:suppressAutoHyphens w:val="0"/>
              <w:spacing w:line="240" w:lineRule="exact"/>
              <w:rPr>
                <w:rFonts w:asciiTheme="minorHAnsi" w:eastAsia="Univers LT Std 57 Cn" w:hAnsiTheme="minorHAnsi" w:cstheme="minorHAnsi"/>
                <w:b w:val="0"/>
                <w:spacing w:val="-2"/>
                <w:sz w:val="20"/>
              </w:rPr>
            </w:pPr>
            <w:r w:rsidRPr="00A6023C">
              <w:rPr>
                <w:rFonts w:asciiTheme="minorHAnsi" w:eastAsia="Univers LT Std 57 Cn" w:hAnsiTheme="minorHAnsi" w:cstheme="minorHAnsi"/>
                <w:b w:val="0"/>
                <w:spacing w:val="-7"/>
                <w:sz w:val="20"/>
              </w:rPr>
              <w:t xml:space="preserve">Include a leading zero when expressing doses less than 1 mg, and round doses greater than 1 mg to the nearest whole number. Display the brand name of extended-release formulations on computer screens to differentiate them from regular-release tacrolimus. Stock all available strengths and use the simplest single strength or combination of strengths to match the patient’s prescribed dose. Standardize the concentration of oral suspensions (1 </w:t>
            </w:r>
            <w:r w:rsidRPr="00A6023C">
              <w:rPr>
                <w:rFonts w:asciiTheme="minorHAnsi" w:eastAsia="Univers LT Std 57 Cn" w:hAnsiTheme="minorHAnsi" w:cstheme="minorHAnsi"/>
                <w:b w:val="0"/>
                <w:spacing w:val="-2"/>
                <w:sz w:val="20"/>
              </w:rPr>
              <w:t xml:space="preserve">mg/mL). </w:t>
            </w:r>
          </w:p>
          <w:p w14:paraId="2FC1FB3B" w14:textId="77777777" w:rsidR="00D133D7" w:rsidRPr="00A6023C" w:rsidRDefault="00D133D7" w:rsidP="003A75B3">
            <w:pPr>
              <w:pStyle w:val="HEADLINE"/>
              <w:suppressAutoHyphens w:val="0"/>
              <w:spacing w:line="240" w:lineRule="exact"/>
              <w:rPr>
                <w:rFonts w:asciiTheme="minorHAnsi" w:eastAsia="Univers LT Std 57 Cn" w:hAnsiTheme="minorHAnsi" w:cstheme="minorHAnsi"/>
                <w:b w:val="0"/>
                <w:spacing w:val="-2"/>
                <w:sz w:val="20"/>
              </w:rPr>
            </w:pPr>
          </w:p>
        </w:tc>
        <w:tc>
          <w:tcPr>
            <w:tcW w:w="3330" w:type="dxa"/>
            <w:tcBorders>
              <w:top w:val="single" w:sz="4" w:space="0" w:color="FF0000"/>
              <w:left w:val="single" w:sz="4" w:space="0" w:color="FF0000"/>
              <w:bottom w:val="single" w:sz="4" w:space="0" w:color="FF0000"/>
              <w:right w:val="single" w:sz="4" w:space="0" w:color="FF0000"/>
            </w:tcBorders>
          </w:tcPr>
          <w:p w14:paraId="3FCFCDD7" w14:textId="77777777" w:rsidR="009F24A8" w:rsidRPr="00A6023C" w:rsidRDefault="009F24A8" w:rsidP="008C5601">
            <w:pPr>
              <w:pStyle w:val="AC-table-body"/>
              <w:tabs>
                <w:tab w:val="clear" w:pos="5735"/>
                <w:tab w:val="clear" w:pos="7906"/>
                <w:tab w:val="clear" w:pos="10080"/>
              </w:tabs>
              <w:rPr>
                <w:rFonts w:asciiTheme="minorHAnsi" w:hAnsiTheme="minorHAnsi" w:cstheme="minorHAnsi"/>
              </w:rPr>
            </w:pPr>
          </w:p>
        </w:tc>
        <w:tc>
          <w:tcPr>
            <w:tcW w:w="2610" w:type="dxa"/>
            <w:tcBorders>
              <w:top w:val="single" w:sz="4" w:space="0" w:color="FF0000"/>
              <w:left w:val="single" w:sz="4" w:space="0" w:color="FF0000"/>
              <w:bottom w:val="single" w:sz="4" w:space="0" w:color="FF0000"/>
              <w:right w:val="single" w:sz="4" w:space="0" w:color="FF0000"/>
            </w:tcBorders>
          </w:tcPr>
          <w:p w14:paraId="22188EEB" w14:textId="77777777" w:rsidR="009F24A8" w:rsidRPr="00A6023C" w:rsidRDefault="009F24A8" w:rsidP="008C5601">
            <w:pPr>
              <w:pStyle w:val="AC-table-body"/>
              <w:tabs>
                <w:tab w:val="clear" w:pos="5735"/>
                <w:tab w:val="clear" w:pos="7906"/>
                <w:tab w:val="clear" w:pos="10080"/>
              </w:tabs>
              <w:rPr>
                <w:rFonts w:asciiTheme="minorHAnsi" w:hAnsiTheme="minorHAnsi" w:cstheme="minorHAnsi"/>
              </w:rPr>
            </w:pPr>
          </w:p>
        </w:tc>
        <w:tc>
          <w:tcPr>
            <w:tcW w:w="1206" w:type="dxa"/>
            <w:tcBorders>
              <w:top w:val="single" w:sz="4" w:space="0" w:color="FF0000"/>
              <w:left w:val="single" w:sz="4" w:space="0" w:color="FF0000"/>
              <w:bottom w:val="single" w:sz="4" w:space="0" w:color="FF0000"/>
              <w:right w:val="single" w:sz="4" w:space="0" w:color="FF0000"/>
            </w:tcBorders>
          </w:tcPr>
          <w:p w14:paraId="232F90BC" w14:textId="77777777" w:rsidR="009F24A8" w:rsidRPr="00A6023C" w:rsidRDefault="009F24A8" w:rsidP="008C5601">
            <w:pPr>
              <w:pStyle w:val="AC-table-body"/>
              <w:tabs>
                <w:tab w:val="clear" w:pos="5735"/>
                <w:tab w:val="clear" w:pos="7906"/>
                <w:tab w:val="clear" w:pos="10080"/>
              </w:tabs>
              <w:rPr>
                <w:rFonts w:asciiTheme="minorHAnsi" w:hAnsiTheme="minorHAnsi" w:cstheme="minorHAnsi"/>
              </w:rPr>
            </w:pPr>
          </w:p>
        </w:tc>
      </w:tr>
      <w:bookmarkEnd w:id="18"/>
    </w:tbl>
    <w:p w14:paraId="39779D13" w14:textId="77777777" w:rsidR="00ED7DDF" w:rsidRPr="00D133D7" w:rsidRDefault="00ED7DDF" w:rsidP="001E1837">
      <w:pPr>
        <w:rPr>
          <w:sz w:val="2"/>
          <w:szCs w:val="2"/>
        </w:rPr>
      </w:pPr>
    </w:p>
    <w:sectPr w:rsidR="00ED7DDF" w:rsidRPr="00D133D7" w:rsidSect="00930886">
      <w:headerReference w:type="default" r:id="rId11"/>
      <w:footerReference w:type="default" r:id="rId12"/>
      <w:headerReference w:type="first" r:id="rId13"/>
      <w:footerReference w:type="first" r:id="rId14"/>
      <w:pgSz w:w="15840" w:h="12240" w:orient="landscape" w:code="1"/>
      <w:pgMar w:top="1008" w:right="1008" w:bottom="576" w:left="1008" w:header="432" w:footer="0" w:gutter="0"/>
      <w:cols w:space="720"/>
      <w:vAlign w:val="center"/>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5291C" w14:textId="77777777" w:rsidR="006249B6" w:rsidRDefault="006249B6">
      <w:r>
        <w:separator/>
      </w:r>
    </w:p>
  </w:endnote>
  <w:endnote w:type="continuationSeparator" w:id="0">
    <w:p w14:paraId="0D0103BA" w14:textId="77777777" w:rsidR="006249B6" w:rsidRDefault="00624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kzidenz Grotesk BE BoldEx">
    <w:panose1 w:val="00000000000000000000"/>
    <w:charset w:val="00"/>
    <w:family w:val="swiss"/>
    <w:notTrueType/>
    <w:pitch w:val="variable"/>
    <w:sig w:usb0="00000003" w:usb1="00000000" w:usb2="00000000" w:usb3="00000000" w:csb0="00000001" w:csb1="00000000"/>
  </w:font>
  <w:font w:name="Akzidenz Grotesk BE Cn">
    <w:panose1 w:val="00000000000000000000"/>
    <w:charset w:val="00"/>
    <w:family w:val="swiss"/>
    <w:notTrueType/>
    <w:pitch w:val="variable"/>
    <w:sig w:usb0="00000003" w:usb1="00000000" w:usb2="00000000" w:usb3="00000000" w:csb0="00000001" w:csb1="00000000"/>
  </w:font>
  <w:font w:name="Akzidenz Grotesk BE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57 Cn">
    <w:panose1 w:val="020B0506020202050204"/>
    <w:charset w:val="00"/>
    <w:family w:val="swiss"/>
    <w:notTrueType/>
    <w:pitch w:val="variable"/>
    <w:sig w:usb0="00000003" w:usb1="00000000" w:usb2="00000000" w:usb3="00000000" w:csb0="00000001" w:csb1="00000000"/>
  </w:font>
  <w:font w:name="Univers LT Std 55">
    <w:panose1 w:val="020B0603020202020204"/>
    <w:charset w:val="00"/>
    <w:family w:val="swiss"/>
    <w:notTrueType/>
    <w:pitch w:val="variable"/>
    <w:sig w:usb0="00000003" w:usb1="00000000" w:usb2="00000000" w:usb3="00000000" w:csb0="00000001" w:csb1="00000000"/>
  </w:font>
  <w:font w:name="Univers LT Std 47 Cn Lt">
    <w:panose1 w:val="020B0406020202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nivers LT Std 45 Light">
    <w:panose1 w:val="020B0403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40BA1" w14:textId="77777777" w:rsidR="00FD43EE" w:rsidRDefault="00FD43EE"/>
  <w:tbl>
    <w:tblPr>
      <w:tblW w:w="14940" w:type="dxa"/>
      <w:tblInd w:w="-432" w:type="dxa"/>
      <w:tblLook w:val="01E0" w:firstRow="1" w:lastRow="1" w:firstColumn="1" w:lastColumn="1" w:noHBand="0" w:noVBand="0"/>
    </w:tblPr>
    <w:tblGrid>
      <w:gridCol w:w="4824"/>
      <w:gridCol w:w="4392"/>
      <w:gridCol w:w="5724"/>
    </w:tblGrid>
    <w:tr w:rsidR="008616D6" w:rsidRPr="00CD401F" w14:paraId="7C037AF5" w14:textId="77777777" w:rsidTr="008C5601">
      <w:tc>
        <w:tcPr>
          <w:tcW w:w="4824" w:type="dxa"/>
          <w:shd w:val="clear" w:color="auto" w:fill="auto"/>
        </w:tcPr>
        <w:p w14:paraId="089EED91" w14:textId="77777777" w:rsidR="008616D6" w:rsidRPr="00CD401F" w:rsidRDefault="00C76FF1" w:rsidP="00C76FF1">
          <w:pPr>
            <w:pStyle w:val="hosp-volume-no"/>
            <w:jc w:val="left"/>
            <w:rPr>
              <w:rFonts w:ascii="Univers LT Std 47 Cn Lt" w:hAnsi="Univers LT Std 47 Cn Lt"/>
              <w:szCs w:val="16"/>
            </w:rPr>
          </w:pPr>
          <w:r>
            <w:rPr>
              <w:rFonts w:ascii="Univers LT Std 47 Cn Lt" w:hAnsi="Univers LT Std 47 Cn Lt"/>
              <w:szCs w:val="16"/>
            </w:rPr>
            <w:t>October 5</w:t>
          </w:r>
          <w:r w:rsidR="00FD43EE">
            <w:rPr>
              <w:rFonts w:ascii="Univers LT Std 47 Cn Lt" w:hAnsi="Univers LT Std 47 Cn Lt"/>
              <w:szCs w:val="16"/>
            </w:rPr>
            <w:t>, 2017</w:t>
          </w:r>
        </w:p>
      </w:tc>
      <w:tc>
        <w:tcPr>
          <w:tcW w:w="4392" w:type="dxa"/>
          <w:shd w:val="clear" w:color="auto" w:fill="auto"/>
        </w:tcPr>
        <w:p w14:paraId="540C917E" w14:textId="77777777" w:rsidR="008616D6" w:rsidRPr="00CD401F" w:rsidRDefault="008616D6" w:rsidP="008C5601">
          <w:pPr>
            <w:jc w:val="center"/>
            <w:rPr>
              <w:rFonts w:ascii="Univers LT Std 47 Cn Lt" w:hAnsi="Univers LT Std 47 Cn Lt"/>
              <w:sz w:val="16"/>
              <w:szCs w:val="16"/>
            </w:rPr>
          </w:pPr>
          <w:r w:rsidRPr="00CD401F">
            <w:rPr>
              <w:rFonts w:ascii="Univers LT Std 47 Cn Lt" w:hAnsi="Univers LT Std 47 Cn Lt"/>
              <w:sz w:val="16"/>
              <w:szCs w:val="16"/>
            </w:rPr>
            <w:t xml:space="preserve">ISMP </w:t>
          </w:r>
          <w:proofErr w:type="spellStart"/>
          <w:r w:rsidRPr="00CD401F">
            <w:rPr>
              <w:rFonts w:ascii="Univers LT Std 47 Cn Lt" w:hAnsi="Univers LT Std 47 Cn Lt"/>
              <w:sz w:val="16"/>
              <w:szCs w:val="16"/>
            </w:rPr>
            <w:t>MedicationSafetyAlert</w:t>
          </w:r>
          <w:proofErr w:type="spellEnd"/>
          <w:r w:rsidRPr="00CD401F">
            <w:rPr>
              <w:rFonts w:ascii="Univers LT Std 47 Cn Lt" w:hAnsi="Univers LT Std 47 Cn Lt"/>
              <w:sz w:val="16"/>
              <w:szCs w:val="16"/>
            </w:rPr>
            <w:t>!</w:t>
          </w:r>
          <w:r w:rsidR="00FD43EE" w:rsidRPr="008C5601">
            <w:rPr>
              <w:rStyle w:val="Normal1"/>
              <w:rFonts w:ascii="Symbol" w:hAnsi="Symbol"/>
              <w:sz w:val="11"/>
              <w:vertAlign w:val="superscript"/>
            </w:rPr>
            <w:t></w:t>
          </w:r>
          <w:r w:rsidR="00FD43EE" w:rsidRPr="008C5601">
            <w:rPr>
              <w:rStyle w:val="Normal1"/>
              <w:rFonts w:ascii="Symbol" w:hAnsi="Symbol"/>
              <w:sz w:val="11"/>
              <w:vertAlign w:val="superscript"/>
            </w:rPr>
            <w:t></w:t>
          </w:r>
          <w:r w:rsidRPr="00CD401F">
            <w:rPr>
              <w:rFonts w:ascii="Univers LT Std 47 Cn Lt" w:hAnsi="Univers LT Std 47 Cn Lt"/>
              <w:sz w:val="16"/>
              <w:szCs w:val="16"/>
            </w:rPr>
            <w:cr/>
          </w:r>
        </w:p>
        <w:p w14:paraId="013662FF" w14:textId="77777777" w:rsidR="008616D6" w:rsidRPr="00CD401F" w:rsidRDefault="008616D6" w:rsidP="008C5601">
          <w:pPr>
            <w:pStyle w:val="hosp-volume-no"/>
            <w:jc w:val="right"/>
            <w:rPr>
              <w:rFonts w:ascii="Univers LT Std 47 Cn Lt" w:hAnsi="Univers LT Std 47 Cn Lt"/>
              <w:szCs w:val="16"/>
            </w:rPr>
          </w:pPr>
        </w:p>
      </w:tc>
      <w:tc>
        <w:tcPr>
          <w:tcW w:w="5724" w:type="dxa"/>
          <w:shd w:val="clear" w:color="auto" w:fill="auto"/>
        </w:tcPr>
        <w:p w14:paraId="1E808A69" w14:textId="6CD58667" w:rsidR="008616D6" w:rsidRPr="00CD401F" w:rsidRDefault="008616D6" w:rsidP="008C5601">
          <w:pPr>
            <w:pStyle w:val="hosp-volume-no"/>
            <w:jc w:val="right"/>
            <w:rPr>
              <w:rFonts w:ascii="Univers LT Std 47 Cn Lt" w:hAnsi="Univers LT Std 47 Cn Lt"/>
              <w:szCs w:val="16"/>
            </w:rPr>
          </w:pPr>
          <w:r w:rsidRPr="00CD401F">
            <w:rPr>
              <w:rFonts w:ascii="Univers LT Std 47 Cn Lt" w:hAnsi="Univers LT Std 47 Cn Lt"/>
              <w:szCs w:val="16"/>
            </w:rPr>
            <w:t xml:space="preserve">QAA </w:t>
          </w:r>
          <w:r w:rsidRPr="00CD401F">
            <w:rPr>
              <w:rFonts w:ascii="Univers LT Std 47 Cn Lt" w:hAnsi="Univers LT Std 47 Cn Lt"/>
              <w:szCs w:val="16"/>
            </w:rPr>
            <w:fldChar w:fldCharType="begin"/>
          </w:r>
          <w:r w:rsidRPr="00CD401F">
            <w:rPr>
              <w:rFonts w:ascii="Univers LT Std 47 Cn Lt" w:hAnsi="Univers LT Std 47 Cn Lt"/>
              <w:szCs w:val="16"/>
            </w:rPr>
            <w:instrText xml:space="preserve"> PAGE </w:instrText>
          </w:r>
          <w:r w:rsidRPr="00CD401F">
            <w:rPr>
              <w:rFonts w:ascii="Univers LT Std 47 Cn Lt" w:hAnsi="Univers LT Std 47 Cn Lt"/>
              <w:szCs w:val="16"/>
            </w:rPr>
            <w:fldChar w:fldCharType="separate"/>
          </w:r>
          <w:r w:rsidR="00A6023C">
            <w:rPr>
              <w:rFonts w:ascii="Univers LT Std 47 Cn Lt" w:hAnsi="Univers LT Std 47 Cn Lt"/>
              <w:noProof/>
              <w:szCs w:val="16"/>
            </w:rPr>
            <w:t>4</w:t>
          </w:r>
          <w:r w:rsidRPr="00CD401F">
            <w:rPr>
              <w:rFonts w:ascii="Univers LT Std 47 Cn Lt" w:hAnsi="Univers LT Std 47 Cn Lt"/>
              <w:szCs w:val="16"/>
            </w:rPr>
            <w:fldChar w:fldCharType="end"/>
          </w:r>
        </w:p>
        <w:p w14:paraId="444A9358" w14:textId="77777777" w:rsidR="008616D6" w:rsidRPr="00CD401F" w:rsidRDefault="008616D6" w:rsidP="008C5601">
          <w:pPr>
            <w:pStyle w:val="hosp-volume-no"/>
            <w:jc w:val="right"/>
            <w:rPr>
              <w:rFonts w:ascii="Univers LT Std 47 Cn Lt" w:hAnsi="Univers LT Std 47 Cn Lt"/>
              <w:szCs w:val="16"/>
            </w:rPr>
          </w:pPr>
        </w:p>
      </w:tc>
    </w:tr>
  </w:tbl>
  <w:p w14:paraId="2C910563" w14:textId="77777777" w:rsidR="008616D6" w:rsidRPr="00CD401F" w:rsidRDefault="008616D6" w:rsidP="00F52484">
    <w:pPr>
      <w:pStyle w:val="hosp-volume-no"/>
      <w:jc w:val="right"/>
      <w:rPr>
        <w:rFonts w:ascii="Univers LT Std 47 Cn Lt" w:hAnsi="Univers LT Std 47 Cn Lt"/>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B12D7" w14:textId="77777777" w:rsidR="00B25C88" w:rsidRPr="000C417B" w:rsidRDefault="00B25C88" w:rsidP="00B25C88">
    <w:pPr>
      <w:pStyle w:val="hosp-volume-no"/>
      <w:rPr>
        <w:color w:val="000000"/>
      </w:rPr>
    </w:pPr>
  </w:p>
  <w:tbl>
    <w:tblPr>
      <w:tblW w:w="14940" w:type="dxa"/>
      <w:tblInd w:w="-432" w:type="dxa"/>
      <w:tblLook w:val="01E0" w:firstRow="1" w:lastRow="1" w:firstColumn="1" w:lastColumn="1" w:noHBand="0" w:noVBand="0"/>
    </w:tblPr>
    <w:tblGrid>
      <w:gridCol w:w="4824"/>
      <w:gridCol w:w="4392"/>
      <w:gridCol w:w="5724"/>
    </w:tblGrid>
    <w:tr w:rsidR="00B25C88" w14:paraId="35848292" w14:textId="77777777" w:rsidTr="008C5601">
      <w:tc>
        <w:tcPr>
          <w:tcW w:w="4824" w:type="dxa"/>
          <w:shd w:val="clear" w:color="auto" w:fill="auto"/>
        </w:tcPr>
        <w:p w14:paraId="5CDEB68B" w14:textId="77777777" w:rsidR="00B25C88" w:rsidRPr="00EF1C8C" w:rsidRDefault="00C76FF1" w:rsidP="00C76FF1">
          <w:pPr>
            <w:pStyle w:val="hosp-volume-no"/>
            <w:jc w:val="left"/>
            <w:rPr>
              <w:rFonts w:ascii="Univers LT Std 47 Cn Lt" w:hAnsi="Univers LT Std 47 Cn Lt"/>
              <w:szCs w:val="16"/>
            </w:rPr>
          </w:pPr>
          <w:r>
            <w:rPr>
              <w:rFonts w:ascii="Univers LT Std 47 Cn Lt" w:hAnsi="Univers LT Std 47 Cn Lt"/>
              <w:color w:val="000000"/>
              <w:szCs w:val="16"/>
            </w:rPr>
            <w:t>October 5</w:t>
          </w:r>
          <w:r w:rsidR="00EF1C8C">
            <w:rPr>
              <w:rFonts w:ascii="Univers LT Std 47 Cn Lt" w:hAnsi="Univers LT Std 47 Cn Lt"/>
              <w:color w:val="000000"/>
              <w:szCs w:val="16"/>
            </w:rPr>
            <w:t>, 2017</w:t>
          </w:r>
        </w:p>
      </w:tc>
      <w:tc>
        <w:tcPr>
          <w:tcW w:w="4392" w:type="dxa"/>
          <w:shd w:val="clear" w:color="auto" w:fill="auto"/>
        </w:tcPr>
        <w:p w14:paraId="670DD6D3" w14:textId="77777777" w:rsidR="00B25C88" w:rsidRPr="00EF1C8C" w:rsidRDefault="00B25C88" w:rsidP="008C5601">
          <w:pPr>
            <w:jc w:val="center"/>
            <w:rPr>
              <w:rFonts w:ascii="Univers LT Std 47 Cn Lt" w:hAnsi="Univers LT Std 47 Cn Lt"/>
              <w:sz w:val="16"/>
              <w:szCs w:val="16"/>
            </w:rPr>
          </w:pPr>
          <w:r w:rsidRPr="00EF1C8C">
            <w:rPr>
              <w:rFonts w:ascii="Univers LT Std 47 Cn Lt" w:hAnsi="Univers LT Std 47 Cn Lt"/>
              <w:position w:val="-1"/>
              <w:sz w:val="16"/>
              <w:szCs w:val="16"/>
            </w:rPr>
            <w:t xml:space="preserve">ISMP </w:t>
          </w:r>
          <w:proofErr w:type="spellStart"/>
          <w:r w:rsidRPr="00EF1C8C">
            <w:rPr>
              <w:rFonts w:ascii="Univers LT Std 47 Cn Lt" w:hAnsi="Univers LT Std 47 Cn Lt"/>
              <w:position w:val="-1"/>
              <w:sz w:val="16"/>
              <w:szCs w:val="16"/>
            </w:rPr>
            <w:t>MedicationSafetyAlert</w:t>
          </w:r>
          <w:proofErr w:type="spellEnd"/>
          <w:r w:rsidRPr="00EF1C8C">
            <w:rPr>
              <w:rFonts w:ascii="Univers LT Std 47 Cn Lt" w:hAnsi="Univers LT Std 47 Cn Lt"/>
              <w:position w:val="-1"/>
              <w:sz w:val="16"/>
              <w:szCs w:val="16"/>
            </w:rPr>
            <w:t>!</w:t>
          </w:r>
          <w:r w:rsidR="00FD43EE" w:rsidRPr="008C5601">
            <w:rPr>
              <w:rStyle w:val="Normal1"/>
              <w:rFonts w:ascii="Symbol" w:hAnsi="Symbol"/>
              <w:sz w:val="11"/>
              <w:vertAlign w:val="superscript"/>
            </w:rPr>
            <w:t></w:t>
          </w:r>
          <w:r w:rsidR="00FD43EE" w:rsidRPr="008C5601">
            <w:rPr>
              <w:rStyle w:val="Normal1"/>
              <w:rFonts w:ascii="Symbol" w:hAnsi="Symbol"/>
              <w:sz w:val="11"/>
              <w:vertAlign w:val="superscript"/>
            </w:rPr>
            <w:t></w:t>
          </w:r>
          <w:r w:rsidRPr="00EF1C8C">
            <w:rPr>
              <w:rFonts w:ascii="Univers LT Std 47 Cn Lt" w:hAnsi="Univers LT Std 47 Cn Lt"/>
              <w:sz w:val="16"/>
              <w:szCs w:val="16"/>
            </w:rPr>
            <w:cr/>
          </w:r>
        </w:p>
        <w:p w14:paraId="18F73ED0" w14:textId="77777777" w:rsidR="00B25C88" w:rsidRPr="00EF1C8C" w:rsidRDefault="00B25C88" w:rsidP="008C5601">
          <w:pPr>
            <w:pStyle w:val="hosp-volume-no"/>
            <w:jc w:val="right"/>
            <w:rPr>
              <w:rFonts w:ascii="Univers LT Std 47 Cn Lt" w:hAnsi="Univers LT Std 47 Cn Lt"/>
              <w:szCs w:val="16"/>
            </w:rPr>
          </w:pPr>
        </w:p>
      </w:tc>
      <w:tc>
        <w:tcPr>
          <w:tcW w:w="5724" w:type="dxa"/>
          <w:shd w:val="clear" w:color="auto" w:fill="auto"/>
        </w:tcPr>
        <w:p w14:paraId="60316317" w14:textId="5BF32860" w:rsidR="00B25C88" w:rsidRPr="00EF1C8C" w:rsidRDefault="00B25C88" w:rsidP="008C5601">
          <w:pPr>
            <w:pStyle w:val="hosp-volume-no"/>
            <w:jc w:val="right"/>
            <w:rPr>
              <w:rStyle w:val="PageNumber"/>
              <w:rFonts w:ascii="Univers LT Std 47 Cn Lt" w:hAnsi="Univers LT Std 47 Cn Lt"/>
              <w:color w:val="000000"/>
              <w:szCs w:val="16"/>
            </w:rPr>
          </w:pPr>
          <w:r w:rsidRPr="00EF1C8C">
            <w:rPr>
              <w:rFonts w:ascii="Univers LT Std 47 Cn Lt" w:hAnsi="Univers LT Std 47 Cn Lt"/>
              <w:szCs w:val="16"/>
            </w:rPr>
            <w:t xml:space="preserve">QAA </w:t>
          </w:r>
          <w:r w:rsidRPr="00EF1C8C">
            <w:rPr>
              <w:rStyle w:val="PageNumber"/>
              <w:rFonts w:ascii="Univers LT Std 47 Cn Lt" w:hAnsi="Univers LT Std 47 Cn Lt"/>
              <w:color w:val="000000"/>
              <w:szCs w:val="16"/>
            </w:rPr>
            <w:fldChar w:fldCharType="begin"/>
          </w:r>
          <w:r w:rsidRPr="00EF1C8C">
            <w:rPr>
              <w:rStyle w:val="PageNumber"/>
              <w:rFonts w:ascii="Univers LT Std 47 Cn Lt" w:hAnsi="Univers LT Std 47 Cn Lt"/>
              <w:color w:val="000000"/>
              <w:szCs w:val="16"/>
            </w:rPr>
            <w:instrText xml:space="preserve"> PAGE </w:instrText>
          </w:r>
          <w:r w:rsidRPr="00EF1C8C">
            <w:rPr>
              <w:rStyle w:val="PageNumber"/>
              <w:rFonts w:ascii="Univers LT Std 47 Cn Lt" w:hAnsi="Univers LT Std 47 Cn Lt"/>
              <w:color w:val="000000"/>
              <w:szCs w:val="16"/>
            </w:rPr>
            <w:fldChar w:fldCharType="separate"/>
          </w:r>
          <w:r w:rsidR="00A6023C">
            <w:rPr>
              <w:rStyle w:val="PageNumber"/>
              <w:rFonts w:ascii="Univers LT Std 47 Cn Lt" w:hAnsi="Univers LT Std 47 Cn Lt"/>
              <w:noProof/>
              <w:color w:val="000000"/>
              <w:szCs w:val="16"/>
            </w:rPr>
            <w:t>1</w:t>
          </w:r>
          <w:r w:rsidRPr="00EF1C8C">
            <w:rPr>
              <w:rStyle w:val="PageNumber"/>
              <w:rFonts w:ascii="Univers LT Std 47 Cn Lt" w:hAnsi="Univers LT Std 47 Cn Lt"/>
              <w:color w:val="000000"/>
              <w:szCs w:val="16"/>
            </w:rPr>
            <w:fldChar w:fldCharType="end"/>
          </w:r>
        </w:p>
        <w:p w14:paraId="61B345AA" w14:textId="77777777" w:rsidR="00B25C88" w:rsidRPr="00EF1C8C" w:rsidRDefault="00B25C88" w:rsidP="008C5601">
          <w:pPr>
            <w:pStyle w:val="hosp-volume-no"/>
            <w:jc w:val="right"/>
            <w:rPr>
              <w:rFonts w:ascii="Univers LT Std 47 Cn Lt" w:hAnsi="Univers LT Std 47 Cn Lt"/>
              <w:szCs w:val="16"/>
            </w:rPr>
          </w:pPr>
        </w:p>
      </w:tc>
    </w:tr>
  </w:tbl>
  <w:p w14:paraId="3791DF86" w14:textId="77777777" w:rsidR="00B25C88" w:rsidRDefault="00B25C88" w:rsidP="00B25C88">
    <w:pPr>
      <w:pStyle w:val="hosp-volume-no"/>
      <w:jc w:val="right"/>
    </w:pPr>
  </w:p>
  <w:p w14:paraId="7238F244" w14:textId="77777777" w:rsidR="008616D6" w:rsidRPr="00B25C88" w:rsidRDefault="008616D6" w:rsidP="00B2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FA3B6" w14:textId="77777777" w:rsidR="006249B6" w:rsidRDefault="006249B6">
      <w:r>
        <w:separator/>
      </w:r>
    </w:p>
  </w:footnote>
  <w:footnote w:type="continuationSeparator" w:id="0">
    <w:p w14:paraId="502191E9" w14:textId="77777777" w:rsidR="006249B6" w:rsidRDefault="00624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ED05" w14:textId="77777777" w:rsidR="008616D6" w:rsidRPr="00326F6C" w:rsidRDefault="00C76FF1" w:rsidP="00143524">
    <w:pPr>
      <w:jc w:val="center"/>
      <w:rPr>
        <w:rFonts w:ascii="Univers LT Std 57 Cn" w:hAnsi="Univers LT Std 57 Cn"/>
        <w:color w:val="999999"/>
        <w:sz w:val="18"/>
      </w:rPr>
    </w:pPr>
    <w:r>
      <w:rPr>
        <w:rFonts w:ascii="Univers LT Std 57 Cn" w:hAnsi="Univers LT Std 57 Cn"/>
        <w:color w:val="999999"/>
        <w:sz w:val="18"/>
      </w:rPr>
      <w:t>July – September 2017</w:t>
    </w:r>
  </w:p>
  <w:p w14:paraId="65FFBA4C" w14:textId="77777777" w:rsidR="008616D6" w:rsidRPr="00326F6C" w:rsidRDefault="008616D6" w:rsidP="0066080D">
    <w:pPr>
      <w:ind w:right="-180"/>
      <w:jc w:val="center"/>
      <w:rPr>
        <w:rFonts w:ascii="Univers LT Std 55" w:hAnsi="Univers LT Std 55"/>
        <w:b/>
        <w:color w:val="D60030"/>
        <w:position w:val="-2"/>
        <w:sz w:val="32"/>
      </w:rPr>
    </w:pPr>
    <w:r w:rsidRPr="00326F6C">
      <w:rPr>
        <w:rFonts w:ascii="Univers LT Std 55" w:hAnsi="Univers LT Std 55"/>
        <w:b/>
        <w:i/>
        <w:color w:val="D60030"/>
        <w:position w:val="-1"/>
        <w:sz w:val="20"/>
      </w:rPr>
      <w:t>ISMP</w:t>
    </w:r>
    <w:r w:rsidRPr="00326F6C">
      <w:rPr>
        <w:rFonts w:ascii="Univers LT Std 55" w:hAnsi="Univers LT Std 55"/>
        <w:b/>
        <w:color w:val="D60030"/>
        <w:position w:val="-2"/>
        <w:sz w:val="32"/>
      </w:rPr>
      <w:t xml:space="preserve"> </w:t>
    </w:r>
    <w:proofErr w:type="spellStart"/>
    <w:r w:rsidRPr="00326F6C">
      <w:rPr>
        <w:rFonts w:ascii="Univers LT Std 45 Light" w:hAnsi="Univers LT Std 45 Light"/>
        <w:color w:val="D60030"/>
        <w:position w:val="-2"/>
        <w:sz w:val="32"/>
      </w:rPr>
      <w:t>Quarterly</w:t>
    </w:r>
    <w:r w:rsidRPr="00326F6C">
      <w:rPr>
        <w:rFonts w:ascii="Univers LT Std 55" w:hAnsi="Univers LT Std 55"/>
        <w:b/>
        <w:color w:val="D60030"/>
        <w:position w:val="-2"/>
        <w:sz w:val="32"/>
      </w:rPr>
      <w:t>Action</w:t>
    </w:r>
    <w:r w:rsidRPr="00326F6C">
      <w:rPr>
        <w:rFonts w:ascii="Univers LT Std 45 Light" w:hAnsi="Univers LT Std 45 Light"/>
        <w:color w:val="D60030"/>
        <w:position w:val="-2"/>
        <w:sz w:val="32"/>
      </w:rPr>
      <w:t>Agenda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4D010" w14:textId="77777777" w:rsidR="008616D6" w:rsidRPr="00326F6C" w:rsidRDefault="00C76FF1" w:rsidP="00D66374">
    <w:pPr>
      <w:jc w:val="center"/>
      <w:rPr>
        <w:rFonts w:ascii="Univers LT Std 57 Cn" w:hAnsi="Univers LT Std 57 Cn"/>
        <w:color w:val="999999"/>
        <w:sz w:val="18"/>
      </w:rPr>
    </w:pPr>
    <w:bookmarkStart w:id="19" w:name="OLE_LINK1"/>
    <w:bookmarkStart w:id="20" w:name="OLE_LINK2"/>
    <w:r>
      <w:rPr>
        <w:rFonts w:ascii="Univers LT Std 57 Cn" w:hAnsi="Univers LT Std 57 Cn"/>
        <w:color w:val="999999"/>
        <w:sz w:val="18"/>
      </w:rPr>
      <w:t>July – September 2017</w:t>
    </w:r>
  </w:p>
  <w:bookmarkEnd w:id="19"/>
  <w:bookmarkEnd w:id="20"/>
  <w:p w14:paraId="6EAED74B" w14:textId="77777777" w:rsidR="008616D6" w:rsidRPr="00326F6C" w:rsidRDefault="008616D6" w:rsidP="00975D5C">
    <w:pPr>
      <w:jc w:val="center"/>
      <w:rPr>
        <w:rFonts w:ascii="Univers LT Std 45 Light" w:hAnsi="Univers LT Std 45 Light"/>
        <w:b/>
        <w:color w:val="D60030"/>
        <w:position w:val="-2"/>
        <w:sz w:val="32"/>
      </w:rPr>
    </w:pPr>
    <w:r w:rsidRPr="00326F6C">
      <w:rPr>
        <w:rFonts w:ascii="Univers LT Std 45 Light" w:hAnsi="Univers LT Std 45 Light"/>
        <w:b/>
        <w:i/>
        <w:color w:val="D60030"/>
        <w:position w:val="-2"/>
        <w:sz w:val="34"/>
      </w:rPr>
      <w:t>ISMP</w:t>
    </w:r>
    <w:r w:rsidRPr="00326F6C">
      <w:rPr>
        <w:rFonts w:ascii="Univers LT Std 45 Light" w:hAnsi="Univers LT Std 45 Light"/>
        <w:b/>
        <w:color w:val="D60030"/>
        <w:position w:val="-3"/>
        <w:sz w:val="54"/>
      </w:rPr>
      <w:t xml:space="preserve"> </w:t>
    </w:r>
    <w:proofErr w:type="spellStart"/>
    <w:r w:rsidRPr="00326F6C">
      <w:rPr>
        <w:rFonts w:ascii="Univers LT Std 55" w:hAnsi="Univers LT Std 55"/>
        <w:color w:val="D60030"/>
        <w:position w:val="-3"/>
        <w:sz w:val="54"/>
      </w:rPr>
      <w:t>Quarterly</w:t>
    </w:r>
    <w:r w:rsidRPr="00326F6C">
      <w:rPr>
        <w:rFonts w:ascii="Univers LT Std 45 Light" w:hAnsi="Univers LT Std 45 Light"/>
        <w:b/>
        <w:color w:val="D60030"/>
        <w:position w:val="-3"/>
        <w:sz w:val="54"/>
      </w:rPr>
      <w:t>Action</w:t>
    </w:r>
    <w:r w:rsidRPr="00326F6C">
      <w:rPr>
        <w:rFonts w:ascii="Univers LT Std 45 Light" w:hAnsi="Univers LT Std 45 Light"/>
        <w:color w:val="D60030"/>
        <w:position w:val="-3"/>
        <w:sz w:val="54"/>
      </w:rPr>
      <w:t>Agenda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10FF3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2A84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B647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54214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9D6BF5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F3871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28CAFE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78F1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38B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B49C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gutterAtTop/>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9D7"/>
    <w:rsid w:val="0000263F"/>
    <w:rsid w:val="00007686"/>
    <w:rsid w:val="000136D2"/>
    <w:rsid w:val="00022EF4"/>
    <w:rsid w:val="00041291"/>
    <w:rsid w:val="0004277F"/>
    <w:rsid w:val="0004435C"/>
    <w:rsid w:val="000604BB"/>
    <w:rsid w:val="00061872"/>
    <w:rsid w:val="00064509"/>
    <w:rsid w:val="00064888"/>
    <w:rsid w:val="00065E21"/>
    <w:rsid w:val="00086CE1"/>
    <w:rsid w:val="00090643"/>
    <w:rsid w:val="00097AED"/>
    <w:rsid w:val="000B0AF6"/>
    <w:rsid w:val="000B4627"/>
    <w:rsid w:val="000C417B"/>
    <w:rsid w:val="000D05BF"/>
    <w:rsid w:val="000D4F5A"/>
    <w:rsid w:val="000E36E6"/>
    <w:rsid w:val="000E54F1"/>
    <w:rsid w:val="000E5CFA"/>
    <w:rsid w:val="00102D23"/>
    <w:rsid w:val="00107B68"/>
    <w:rsid w:val="001121F0"/>
    <w:rsid w:val="00121FA9"/>
    <w:rsid w:val="00125154"/>
    <w:rsid w:val="00136F07"/>
    <w:rsid w:val="00143524"/>
    <w:rsid w:val="001451F0"/>
    <w:rsid w:val="00147349"/>
    <w:rsid w:val="001655FA"/>
    <w:rsid w:val="00171CDF"/>
    <w:rsid w:val="001759C0"/>
    <w:rsid w:val="00175AEE"/>
    <w:rsid w:val="00181869"/>
    <w:rsid w:val="00193DF7"/>
    <w:rsid w:val="001A492A"/>
    <w:rsid w:val="001A555B"/>
    <w:rsid w:val="001B0F0B"/>
    <w:rsid w:val="001B4218"/>
    <w:rsid w:val="001C76EB"/>
    <w:rsid w:val="001D00E3"/>
    <w:rsid w:val="001D2E86"/>
    <w:rsid w:val="001E05A5"/>
    <w:rsid w:val="001E1837"/>
    <w:rsid w:val="001E4403"/>
    <w:rsid w:val="001E6BF7"/>
    <w:rsid w:val="001F246B"/>
    <w:rsid w:val="001F4C4B"/>
    <w:rsid w:val="00235ABC"/>
    <w:rsid w:val="00243DFE"/>
    <w:rsid w:val="002527D2"/>
    <w:rsid w:val="00260A21"/>
    <w:rsid w:val="00282888"/>
    <w:rsid w:val="00292167"/>
    <w:rsid w:val="00293E7C"/>
    <w:rsid w:val="00296DB9"/>
    <w:rsid w:val="002A432E"/>
    <w:rsid w:val="002B79E7"/>
    <w:rsid w:val="002C0BAF"/>
    <w:rsid w:val="002E16D6"/>
    <w:rsid w:val="002F520F"/>
    <w:rsid w:val="003003E2"/>
    <w:rsid w:val="00302040"/>
    <w:rsid w:val="00303113"/>
    <w:rsid w:val="00311B3C"/>
    <w:rsid w:val="00317B44"/>
    <w:rsid w:val="0032038B"/>
    <w:rsid w:val="00320B7E"/>
    <w:rsid w:val="00326F6C"/>
    <w:rsid w:val="00330C42"/>
    <w:rsid w:val="003517AB"/>
    <w:rsid w:val="00352C0F"/>
    <w:rsid w:val="0035710B"/>
    <w:rsid w:val="00374BE7"/>
    <w:rsid w:val="00377B07"/>
    <w:rsid w:val="0038144F"/>
    <w:rsid w:val="00391190"/>
    <w:rsid w:val="003920B6"/>
    <w:rsid w:val="003957A8"/>
    <w:rsid w:val="00397550"/>
    <w:rsid w:val="003A2BB2"/>
    <w:rsid w:val="003C0364"/>
    <w:rsid w:val="003C0D38"/>
    <w:rsid w:val="003D000D"/>
    <w:rsid w:val="003D105E"/>
    <w:rsid w:val="003E4BB3"/>
    <w:rsid w:val="003E7BFC"/>
    <w:rsid w:val="004129D0"/>
    <w:rsid w:val="00413B0D"/>
    <w:rsid w:val="00421987"/>
    <w:rsid w:val="00422005"/>
    <w:rsid w:val="004238F8"/>
    <w:rsid w:val="00427B70"/>
    <w:rsid w:val="00434F86"/>
    <w:rsid w:val="00446E8F"/>
    <w:rsid w:val="00450B0C"/>
    <w:rsid w:val="0046245C"/>
    <w:rsid w:val="00473B6D"/>
    <w:rsid w:val="00481F29"/>
    <w:rsid w:val="00482777"/>
    <w:rsid w:val="004847A3"/>
    <w:rsid w:val="00491DD2"/>
    <w:rsid w:val="00491E67"/>
    <w:rsid w:val="0049572E"/>
    <w:rsid w:val="004967DF"/>
    <w:rsid w:val="004A0A0F"/>
    <w:rsid w:val="004A5A50"/>
    <w:rsid w:val="004A716E"/>
    <w:rsid w:val="004B0130"/>
    <w:rsid w:val="004B09A4"/>
    <w:rsid w:val="004B29BE"/>
    <w:rsid w:val="004B309D"/>
    <w:rsid w:val="004C4A63"/>
    <w:rsid w:val="004C79A5"/>
    <w:rsid w:val="004E5B3C"/>
    <w:rsid w:val="004F0D06"/>
    <w:rsid w:val="00502537"/>
    <w:rsid w:val="00503C5E"/>
    <w:rsid w:val="0050693E"/>
    <w:rsid w:val="00510080"/>
    <w:rsid w:val="005226C7"/>
    <w:rsid w:val="00526783"/>
    <w:rsid w:val="00533376"/>
    <w:rsid w:val="00560123"/>
    <w:rsid w:val="0056132C"/>
    <w:rsid w:val="00563CCC"/>
    <w:rsid w:val="005755AB"/>
    <w:rsid w:val="00577684"/>
    <w:rsid w:val="00583355"/>
    <w:rsid w:val="005A57EA"/>
    <w:rsid w:val="005B24A2"/>
    <w:rsid w:val="005B2CAD"/>
    <w:rsid w:val="005C016C"/>
    <w:rsid w:val="005D2A75"/>
    <w:rsid w:val="005E73C8"/>
    <w:rsid w:val="005E790A"/>
    <w:rsid w:val="006009B5"/>
    <w:rsid w:val="00600C47"/>
    <w:rsid w:val="0062367B"/>
    <w:rsid w:val="00623B18"/>
    <w:rsid w:val="006249B6"/>
    <w:rsid w:val="006314AA"/>
    <w:rsid w:val="0063283A"/>
    <w:rsid w:val="00634B19"/>
    <w:rsid w:val="00646C5C"/>
    <w:rsid w:val="0066080D"/>
    <w:rsid w:val="006630A4"/>
    <w:rsid w:val="0067274F"/>
    <w:rsid w:val="00684D1E"/>
    <w:rsid w:val="00685901"/>
    <w:rsid w:val="006A05FD"/>
    <w:rsid w:val="006B0563"/>
    <w:rsid w:val="006C0394"/>
    <w:rsid w:val="006C1155"/>
    <w:rsid w:val="006C39CF"/>
    <w:rsid w:val="006D0AC2"/>
    <w:rsid w:val="006D1340"/>
    <w:rsid w:val="006D13E9"/>
    <w:rsid w:val="006D5489"/>
    <w:rsid w:val="006D671A"/>
    <w:rsid w:val="006E3B88"/>
    <w:rsid w:val="006E656E"/>
    <w:rsid w:val="006E6DD0"/>
    <w:rsid w:val="006F0B2B"/>
    <w:rsid w:val="006F4DF2"/>
    <w:rsid w:val="006F6697"/>
    <w:rsid w:val="007020A9"/>
    <w:rsid w:val="007142CD"/>
    <w:rsid w:val="0071495C"/>
    <w:rsid w:val="00720867"/>
    <w:rsid w:val="00721D8F"/>
    <w:rsid w:val="0072480E"/>
    <w:rsid w:val="007266B9"/>
    <w:rsid w:val="0072762E"/>
    <w:rsid w:val="00734609"/>
    <w:rsid w:val="007419DE"/>
    <w:rsid w:val="0075586D"/>
    <w:rsid w:val="00757D59"/>
    <w:rsid w:val="00761130"/>
    <w:rsid w:val="00763821"/>
    <w:rsid w:val="00784614"/>
    <w:rsid w:val="0078775E"/>
    <w:rsid w:val="00787925"/>
    <w:rsid w:val="0079346C"/>
    <w:rsid w:val="00797B8B"/>
    <w:rsid w:val="007A3331"/>
    <w:rsid w:val="007A3DF7"/>
    <w:rsid w:val="007B3E30"/>
    <w:rsid w:val="007C5952"/>
    <w:rsid w:val="007E4305"/>
    <w:rsid w:val="007F1916"/>
    <w:rsid w:val="007F3754"/>
    <w:rsid w:val="007F6FE5"/>
    <w:rsid w:val="007F7AE7"/>
    <w:rsid w:val="008219D3"/>
    <w:rsid w:val="00822244"/>
    <w:rsid w:val="0082558E"/>
    <w:rsid w:val="008279B2"/>
    <w:rsid w:val="00830ED3"/>
    <w:rsid w:val="00830F6C"/>
    <w:rsid w:val="008616D6"/>
    <w:rsid w:val="008712E1"/>
    <w:rsid w:val="008746DC"/>
    <w:rsid w:val="00880D47"/>
    <w:rsid w:val="0089012D"/>
    <w:rsid w:val="008929D4"/>
    <w:rsid w:val="00892D86"/>
    <w:rsid w:val="00893CF3"/>
    <w:rsid w:val="00897440"/>
    <w:rsid w:val="00897E07"/>
    <w:rsid w:val="008B248A"/>
    <w:rsid w:val="008C06DD"/>
    <w:rsid w:val="008C4BCC"/>
    <w:rsid w:val="008C4CFB"/>
    <w:rsid w:val="008C5601"/>
    <w:rsid w:val="008D081B"/>
    <w:rsid w:val="008D17CC"/>
    <w:rsid w:val="008D39F5"/>
    <w:rsid w:val="008D7CCF"/>
    <w:rsid w:val="008E38BF"/>
    <w:rsid w:val="008E77D1"/>
    <w:rsid w:val="008F7288"/>
    <w:rsid w:val="00905278"/>
    <w:rsid w:val="00915704"/>
    <w:rsid w:val="00927C99"/>
    <w:rsid w:val="00930886"/>
    <w:rsid w:val="009447B1"/>
    <w:rsid w:val="009459E4"/>
    <w:rsid w:val="00952132"/>
    <w:rsid w:val="0096106F"/>
    <w:rsid w:val="00966C3E"/>
    <w:rsid w:val="00971EF2"/>
    <w:rsid w:val="009747A4"/>
    <w:rsid w:val="00975D5C"/>
    <w:rsid w:val="00977CAA"/>
    <w:rsid w:val="009A1561"/>
    <w:rsid w:val="009A59FA"/>
    <w:rsid w:val="009A76D2"/>
    <w:rsid w:val="009C284F"/>
    <w:rsid w:val="009E1870"/>
    <w:rsid w:val="009F24A8"/>
    <w:rsid w:val="009F5965"/>
    <w:rsid w:val="009F5FB8"/>
    <w:rsid w:val="009F7439"/>
    <w:rsid w:val="00A02ECF"/>
    <w:rsid w:val="00A0309D"/>
    <w:rsid w:val="00A107FA"/>
    <w:rsid w:val="00A30BF2"/>
    <w:rsid w:val="00A32D65"/>
    <w:rsid w:val="00A41E36"/>
    <w:rsid w:val="00A53FFE"/>
    <w:rsid w:val="00A5481A"/>
    <w:rsid w:val="00A6023C"/>
    <w:rsid w:val="00A61736"/>
    <w:rsid w:val="00A620BD"/>
    <w:rsid w:val="00A646DB"/>
    <w:rsid w:val="00A6494A"/>
    <w:rsid w:val="00A65BFF"/>
    <w:rsid w:val="00A66F76"/>
    <w:rsid w:val="00A6798F"/>
    <w:rsid w:val="00A7297D"/>
    <w:rsid w:val="00A81AFD"/>
    <w:rsid w:val="00A84C70"/>
    <w:rsid w:val="00A95C98"/>
    <w:rsid w:val="00AD5382"/>
    <w:rsid w:val="00AE4ABA"/>
    <w:rsid w:val="00AF213F"/>
    <w:rsid w:val="00AF29B5"/>
    <w:rsid w:val="00B201FC"/>
    <w:rsid w:val="00B25C88"/>
    <w:rsid w:val="00B722C2"/>
    <w:rsid w:val="00B7509C"/>
    <w:rsid w:val="00B81EEF"/>
    <w:rsid w:val="00BA340E"/>
    <w:rsid w:val="00BB0667"/>
    <w:rsid w:val="00BC711F"/>
    <w:rsid w:val="00BE2252"/>
    <w:rsid w:val="00BF6076"/>
    <w:rsid w:val="00C02132"/>
    <w:rsid w:val="00C1299F"/>
    <w:rsid w:val="00C1505F"/>
    <w:rsid w:val="00C15944"/>
    <w:rsid w:val="00C3004B"/>
    <w:rsid w:val="00C301D5"/>
    <w:rsid w:val="00C40A3A"/>
    <w:rsid w:val="00C43829"/>
    <w:rsid w:val="00C44915"/>
    <w:rsid w:val="00C5096F"/>
    <w:rsid w:val="00C56E2D"/>
    <w:rsid w:val="00C67F47"/>
    <w:rsid w:val="00C73BE3"/>
    <w:rsid w:val="00C74DB6"/>
    <w:rsid w:val="00C76FF1"/>
    <w:rsid w:val="00C80DC7"/>
    <w:rsid w:val="00C84627"/>
    <w:rsid w:val="00C963CD"/>
    <w:rsid w:val="00CB0213"/>
    <w:rsid w:val="00CB5ECF"/>
    <w:rsid w:val="00CB7905"/>
    <w:rsid w:val="00CC1137"/>
    <w:rsid w:val="00CC1812"/>
    <w:rsid w:val="00CC7533"/>
    <w:rsid w:val="00CC7FC5"/>
    <w:rsid w:val="00CD401F"/>
    <w:rsid w:val="00CD49D7"/>
    <w:rsid w:val="00CD50BA"/>
    <w:rsid w:val="00CF6895"/>
    <w:rsid w:val="00D0668D"/>
    <w:rsid w:val="00D133D7"/>
    <w:rsid w:val="00D265BB"/>
    <w:rsid w:val="00D5110F"/>
    <w:rsid w:val="00D5324B"/>
    <w:rsid w:val="00D66374"/>
    <w:rsid w:val="00D84E5E"/>
    <w:rsid w:val="00D96759"/>
    <w:rsid w:val="00D969B6"/>
    <w:rsid w:val="00DA52FA"/>
    <w:rsid w:val="00DB0EA0"/>
    <w:rsid w:val="00DB2E0D"/>
    <w:rsid w:val="00DB58A5"/>
    <w:rsid w:val="00DE5A6B"/>
    <w:rsid w:val="00DE62D1"/>
    <w:rsid w:val="00DE77D2"/>
    <w:rsid w:val="00DF38FA"/>
    <w:rsid w:val="00DF45D1"/>
    <w:rsid w:val="00E02C58"/>
    <w:rsid w:val="00E138BE"/>
    <w:rsid w:val="00E20F27"/>
    <w:rsid w:val="00E27F99"/>
    <w:rsid w:val="00E325CF"/>
    <w:rsid w:val="00E4096B"/>
    <w:rsid w:val="00E47C31"/>
    <w:rsid w:val="00E512B3"/>
    <w:rsid w:val="00E66879"/>
    <w:rsid w:val="00E81452"/>
    <w:rsid w:val="00E856E5"/>
    <w:rsid w:val="00E872FA"/>
    <w:rsid w:val="00E91CB5"/>
    <w:rsid w:val="00EA4612"/>
    <w:rsid w:val="00EA5888"/>
    <w:rsid w:val="00EA5B96"/>
    <w:rsid w:val="00EB2CF0"/>
    <w:rsid w:val="00EB52FA"/>
    <w:rsid w:val="00EC0343"/>
    <w:rsid w:val="00EC214F"/>
    <w:rsid w:val="00ED7DDF"/>
    <w:rsid w:val="00EF0933"/>
    <w:rsid w:val="00EF1C8C"/>
    <w:rsid w:val="00EF58E6"/>
    <w:rsid w:val="00EF5DC1"/>
    <w:rsid w:val="00F003F7"/>
    <w:rsid w:val="00F25E6B"/>
    <w:rsid w:val="00F31092"/>
    <w:rsid w:val="00F41A79"/>
    <w:rsid w:val="00F435C0"/>
    <w:rsid w:val="00F52484"/>
    <w:rsid w:val="00F53E84"/>
    <w:rsid w:val="00F63EBC"/>
    <w:rsid w:val="00F71090"/>
    <w:rsid w:val="00F73AF8"/>
    <w:rsid w:val="00F8063D"/>
    <w:rsid w:val="00F8736B"/>
    <w:rsid w:val="00F901ED"/>
    <w:rsid w:val="00F95EC3"/>
    <w:rsid w:val="00FA1540"/>
    <w:rsid w:val="00FA3D62"/>
    <w:rsid w:val="00FB06DE"/>
    <w:rsid w:val="00FB2CD6"/>
    <w:rsid w:val="00FC136F"/>
    <w:rsid w:val="00FD43EE"/>
    <w:rsid w:val="00FE068B"/>
    <w:rsid w:val="00FE2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6668F7"/>
  <w15:docId w15:val="{FADC7E7E-B81B-4187-8096-EDD204B07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91190"/>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rsid w:val="00ED7D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locked/>
    <w:rsid w:val="00097AED"/>
    <w:rPr>
      <w:i/>
      <w:iCs/>
    </w:rPr>
  </w:style>
  <w:style w:type="paragraph" w:customStyle="1" w:styleId="AC-table-hed">
    <w:name w:val="AC-table-hed"/>
    <w:locked/>
    <w:rsid w:val="00763821"/>
    <w:pPr>
      <w:tabs>
        <w:tab w:val="center" w:pos="5735"/>
        <w:tab w:val="center" w:pos="7906"/>
        <w:tab w:val="center" w:pos="10080"/>
      </w:tabs>
      <w:spacing w:line="200" w:lineRule="exact"/>
    </w:pPr>
    <w:rPr>
      <w:rFonts w:ascii="Akzidenz Grotesk BE BoldEx" w:hAnsi="Akzidenz Grotesk BE BoldEx"/>
      <w:sz w:val="19"/>
    </w:rPr>
  </w:style>
  <w:style w:type="paragraph" w:customStyle="1" w:styleId="AC-table-body">
    <w:name w:val="AC-table-body"/>
    <w:qFormat/>
    <w:rsid w:val="00763821"/>
    <w:pPr>
      <w:tabs>
        <w:tab w:val="center" w:pos="5735"/>
        <w:tab w:val="center" w:pos="7906"/>
        <w:tab w:val="center" w:pos="10080"/>
      </w:tabs>
      <w:spacing w:line="240" w:lineRule="exact"/>
    </w:pPr>
    <w:rPr>
      <w:rFonts w:ascii="Akzidenz Grotesk BE Cn" w:hAnsi="Akzidenz Grotesk BE Cn"/>
    </w:rPr>
  </w:style>
  <w:style w:type="paragraph" w:customStyle="1" w:styleId="Acutecare-new-agenda-hed">
    <w:name w:val="Acutecare-new-agenda-hed"/>
    <w:qFormat/>
    <w:locked/>
    <w:rsid w:val="003D105E"/>
    <w:pPr>
      <w:tabs>
        <w:tab w:val="center" w:pos="5735"/>
        <w:tab w:val="center" w:pos="7906"/>
        <w:tab w:val="center" w:pos="10080"/>
      </w:tabs>
      <w:jc w:val="center"/>
    </w:pPr>
    <w:rPr>
      <w:rFonts w:ascii="Akzidenz Grotesk BE BoldEx" w:hAnsi="Akzidenz Grotesk BE BoldEx"/>
      <w:w w:val="90"/>
      <w:sz w:val="19"/>
    </w:rPr>
  </w:style>
  <w:style w:type="paragraph" w:customStyle="1" w:styleId="StyleAC-table-hed85ptWhiteCentered">
    <w:name w:val="Style AC-table-hed + 8.5 pt White Centered"/>
    <w:basedOn w:val="AC-table-hed"/>
    <w:locked/>
    <w:rsid w:val="00DF45D1"/>
    <w:pPr>
      <w:spacing w:before="20"/>
      <w:jc w:val="center"/>
    </w:pPr>
    <w:rPr>
      <w:color w:val="FFFFFF"/>
      <w:sz w:val="17"/>
    </w:rPr>
  </w:style>
  <w:style w:type="paragraph" w:styleId="Header">
    <w:name w:val="header"/>
    <w:basedOn w:val="Normal"/>
    <w:locked/>
    <w:rsid w:val="008D7CCF"/>
    <w:pPr>
      <w:tabs>
        <w:tab w:val="center" w:pos="4320"/>
        <w:tab w:val="right" w:pos="8640"/>
      </w:tabs>
    </w:pPr>
  </w:style>
  <w:style w:type="paragraph" w:styleId="Footer">
    <w:name w:val="footer"/>
    <w:basedOn w:val="Normal"/>
    <w:locked/>
    <w:rsid w:val="008D7CCF"/>
    <w:pPr>
      <w:tabs>
        <w:tab w:val="center" w:pos="4320"/>
        <w:tab w:val="right" w:pos="8640"/>
      </w:tabs>
    </w:pPr>
  </w:style>
  <w:style w:type="paragraph" w:customStyle="1" w:styleId="hosp-volume-no">
    <w:name w:val="hosp-volume-no."/>
    <w:locked/>
    <w:rsid w:val="008D7CCF"/>
    <w:pPr>
      <w:jc w:val="both"/>
    </w:pPr>
    <w:rPr>
      <w:rFonts w:ascii="Akzidenz Grotesk BE Light" w:hAnsi="Akzidenz Grotesk BE Light"/>
      <w:sz w:val="16"/>
    </w:rPr>
  </w:style>
  <w:style w:type="character" w:styleId="PageNumber">
    <w:name w:val="page number"/>
    <w:basedOn w:val="DefaultParagraphFont"/>
    <w:locked/>
    <w:rsid w:val="008D7CCF"/>
  </w:style>
  <w:style w:type="character" w:customStyle="1" w:styleId="Normal1">
    <w:name w:val="Normal1"/>
    <w:locked/>
    <w:rsid w:val="00B201FC"/>
    <w:rPr>
      <w:rFonts w:ascii="Arial" w:hAnsi="Arial"/>
      <w:sz w:val="24"/>
    </w:rPr>
  </w:style>
  <w:style w:type="character" w:customStyle="1" w:styleId="safety-B-url">
    <w:name w:val="safety-B-url"/>
    <w:locked/>
    <w:rsid w:val="00C43829"/>
    <w:rPr>
      <w:rFonts w:ascii="Akzidenz Grotesk BE Cn" w:hAnsi="Akzidenz Grotesk BE Cn"/>
      <w:color w:val="0C419A"/>
      <w:spacing w:val="0"/>
      <w:sz w:val="20"/>
      <w:u w:val="single"/>
    </w:rPr>
  </w:style>
  <w:style w:type="character" w:styleId="Hyperlink">
    <w:name w:val="Hyperlink"/>
    <w:locked/>
    <w:rsid w:val="00A5481A"/>
    <w:rPr>
      <w:color w:val="0000FF"/>
      <w:u w:val="single"/>
    </w:rPr>
  </w:style>
  <w:style w:type="paragraph" w:customStyle="1" w:styleId="Style1">
    <w:name w:val="Style1"/>
    <w:basedOn w:val="Acutecare-new-agenda-hed"/>
    <w:rsid w:val="00B81EEF"/>
    <w:rPr>
      <w:sz w:val="18"/>
    </w:rPr>
  </w:style>
  <w:style w:type="paragraph" w:styleId="BalloonText">
    <w:name w:val="Balloon Text"/>
    <w:basedOn w:val="Normal"/>
    <w:link w:val="BalloonTextChar"/>
    <w:locked/>
    <w:rsid w:val="009F5FB8"/>
    <w:rPr>
      <w:rFonts w:ascii="Tahoma" w:hAnsi="Tahoma" w:cs="Tahoma"/>
      <w:sz w:val="16"/>
      <w:szCs w:val="16"/>
    </w:rPr>
  </w:style>
  <w:style w:type="character" w:customStyle="1" w:styleId="BalloonTextChar">
    <w:name w:val="Balloon Text Char"/>
    <w:basedOn w:val="DefaultParagraphFont"/>
    <w:link w:val="BalloonText"/>
    <w:rsid w:val="009F5FB8"/>
    <w:rPr>
      <w:rFonts w:ascii="Tahoma" w:hAnsi="Tahoma" w:cs="Tahoma"/>
      <w:sz w:val="16"/>
      <w:szCs w:val="16"/>
    </w:rPr>
  </w:style>
  <w:style w:type="paragraph" w:customStyle="1" w:styleId="AGENDA-body">
    <w:name w:val="AGENDA-body"/>
    <w:qFormat/>
    <w:rsid w:val="00491DD2"/>
    <w:pPr>
      <w:tabs>
        <w:tab w:val="center" w:pos="5735"/>
        <w:tab w:val="center" w:pos="7906"/>
        <w:tab w:val="center" w:pos="10080"/>
      </w:tabs>
      <w:spacing w:line="240" w:lineRule="exact"/>
      <w:textAlignment w:val="baseline"/>
    </w:pPr>
    <w:rPr>
      <w:rFonts w:ascii="Univers LT Std 57 Cn" w:eastAsia="Univers LT Std 57 Cn" w:hAnsi="Univers LT Std 57 Cn" w:cs="Univers LT Std 57 Cn"/>
      <w:color w:val="262526"/>
      <w:spacing w:val="-5"/>
      <w:w w:val="99"/>
      <w:lang w:bidi="en-US"/>
    </w:rPr>
  </w:style>
  <w:style w:type="paragraph" w:customStyle="1" w:styleId="AGENDA-table-titles">
    <w:name w:val="AGENDA-table-titles"/>
    <w:qFormat/>
    <w:rsid w:val="00526783"/>
    <w:pPr>
      <w:tabs>
        <w:tab w:val="center" w:pos="5735"/>
        <w:tab w:val="center" w:pos="7906"/>
        <w:tab w:val="center" w:pos="10080"/>
      </w:tabs>
      <w:spacing w:line="200" w:lineRule="exact"/>
      <w:jc w:val="center"/>
      <w:textAlignment w:val="baseline"/>
    </w:pPr>
    <w:rPr>
      <w:rFonts w:ascii="Univers LT Std 55" w:eastAsia="Univers LT Std 55" w:hAnsi="Univers LT Std 55" w:cs="Univers LT Std 55"/>
      <w:b/>
      <w:color w:val="262526"/>
      <w:spacing w:val="-1"/>
      <w:w w:val="89"/>
      <w:sz w:val="19"/>
      <w:lang w:bidi="en-US"/>
    </w:rPr>
  </w:style>
  <w:style w:type="paragraph" w:customStyle="1" w:styleId="HEADLINE">
    <w:name w:val="HEADLINE"/>
    <w:qFormat/>
    <w:rsid w:val="004967DF"/>
    <w:pPr>
      <w:suppressAutoHyphens/>
      <w:spacing w:line="400" w:lineRule="exact"/>
      <w:textAlignment w:val="baseline"/>
    </w:pPr>
    <w:rPr>
      <w:rFonts w:ascii="Univers LT Std 47 Cn Lt" w:eastAsia="Univers LT Std 47 Cn Lt" w:hAnsi="Univers LT Std 47 Cn Lt" w:cs="Univers LT Std 47 Cn Lt"/>
      <w:b/>
      <w:color w:val="262526"/>
      <w:spacing w:val="-5"/>
      <w:sz w:val="3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263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ISMP\ISMP-nl\ismp-acutecare-NL\templates-lib\ActionAgenda13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69FA9011CB4241BCE9FB143DFC7D87" ma:contentTypeVersion="8" ma:contentTypeDescription="Create a new document." ma:contentTypeScope="" ma:versionID="e37dc911dc5243bbe578da0330f24950">
  <xsd:schema xmlns:xsd="http://www.w3.org/2001/XMLSchema" xmlns:xs="http://www.w3.org/2001/XMLSchema" xmlns:p="http://schemas.microsoft.com/office/2006/metadata/properties" xmlns:ns2="15b9b306-a27a-47a5-95ee-23e6b8cd343e" xmlns:ns3="9d419ed9-10ab-41c6-a5a9-ae073a0ae28f" targetNamespace="http://schemas.microsoft.com/office/2006/metadata/properties" ma:root="true" ma:fieldsID="7637480e4758b178beb448a124b5e96a" ns2:_="" ns3:_="">
    <xsd:import namespace="15b9b306-a27a-47a5-95ee-23e6b8cd343e"/>
    <xsd:import namespace="9d419ed9-10ab-41c6-a5a9-ae073a0ae28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9b306-a27a-47a5-95ee-23e6b8cd34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d419ed9-10ab-41c6-a5a9-ae073a0ae28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BE2F0F-69EF-4506-8FBB-1C731D56A8B5}">
  <ds:schemaRefs>
    <ds:schemaRef ds:uri="http://schemas.openxmlformats.org/officeDocument/2006/bibliography"/>
  </ds:schemaRefs>
</ds:datastoreItem>
</file>

<file path=customXml/itemProps2.xml><?xml version="1.0" encoding="utf-8"?>
<ds:datastoreItem xmlns:ds="http://schemas.openxmlformats.org/officeDocument/2006/customXml" ds:itemID="{7CACD347-5537-46B5-A5B3-DE5083E44EDD}"/>
</file>

<file path=customXml/itemProps3.xml><?xml version="1.0" encoding="utf-8"?>
<ds:datastoreItem xmlns:ds="http://schemas.openxmlformats.org/officeDocument/2006/customXml" ds:itemID="{6B39210E-1EB5-4E4E-BECD-656899AAEB4C}"/>
</file>

<file path=customXml/itemProps4.xml><?xml version="1.0" encoding="utf-8"?>
<ds:datastoreItem xmlns:ds="http://schemas.openxmlformats.org/officeDocument/2006/customXml" ds:itemID="{B9305787-0601-4A12-8871-46C125B862F7}"/>
</file>

<file path=docProps/app.xml><?xml version="1.0" encoding="utf-8"?>
<Properties xmlns="http://schemas.openxmlformats.org/officeDocument/2006/extended-properties" xmlns:vt="http://schemas.openxmlformats.org/officeDocument/2006/docPropsVTypes">
  <Template>ActionAgenda1304.dotx</Template>
  <TotalTime>7</TotalTime>
  <Pages>4</Pages>
  <Words>1422</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ISMP Medication Safety Alert</vt:lpstr>
    </vt:vector>
  </TitlesOfParts>
  <Company>ISMP</Company>
  <LinksUpToDate>false</LinksUpToDate>
  <CharactersWithSpaces>10274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ISMP Medication Safety Alert</dc:title>
  <dc:creator>bob</dc:creator>
  <cp:lastModifiedBy>Ann Shastay</cp:lastModifiedBy>
  <cp:revision>3</cp:revision>
  <cp:lastPrinted>2006-07-27T04:12:00Z</cp:lastPrinted>
  <dcterms:created xsi:type="dcterms:W3CDTF">2017-10-05T11:18:00Z</dcterms:created>
  <dcterms:modified xsi:type="dcterms:W3CDTF">2017-10-05T11:30:00Z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0x0101009669FA9011CB4241BCE9FB143DFC7D87</vt:lpwstr>
  </property>
</Properties>
</file>