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231184836"/>
    <w:bookmarkStart w:id="1" w:name="_MON_1231184913"/>
    <w:bookmarkStart w:id="2" w:name="_MON_1238434392"/>
    <w:bookmarkStart w:id="3" w:name="_MON_1238434662"/>
    <w:bookmarkStart w:id="4" w:name="_MON_1252867714"/>
    <w:bookmarkStart w:id="5" w:name="_MON_1301937154"/>
    <w:bookmarkStart w:id="6" w:name="_MON_1301937233"/>
    <w:bookmarkStart w:id="7" w:name="_MON_1301937332"/>
    <w:bookmarkStart w:id="8" w:name="_MON_1301937386"/>
    <w:bookmarkStart w:id="9" w:name="_MON_1301937409"/>
    <w:bookmarkStart w:id="10" w:name="_MON_1301938247"/>
    <w:bookmarkStart w:id="11" w:name="_MON_1357578261"/>
    <w:bookmarkStart w:id="12" w:name="_MON_1231182667"/>
    <w:bookmarkStart w:id="13" w:name="_MON_1231182695"/>
    <w:bookmarkStart w:id="14" w:name="_MON_1231182702"/>
    <w:bookmarkStart w:id="15" w:name="_MON_1231182722"/>
    <w:bookmarkStart w:id="16" w:name="_MON_123118294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Start w:id="17" w:name="_MON_1231183012"/>
    <w:bookmarkEnd w:id="17"/>
    <w:p w14:paraId="58588590" w14:textId="77777777" w:rsidR="00A5481A" w:rsidRPr="00FA1540" w:rsidRDefault="00476A59" w:rsidP="00E325CF">
      <w:pPr>
        <w:ind w:left="-360" w:right="-180"/>
        <w:rPr>
          <w:sz w:val="16"/>
          <w:szCs w:val="16"/>
        </w:rPr>
      </w:pPr>
      <w:r w:rsidRPr="00EC2382">
        <w:rPr>
          <w:rFonts w:ascii="Calibri" w:hAnsi="Calibri" w:cs="Calibri"/>
        </w:rPr>
        <w:object w:dxaOrig="14595" w:dyaOrig="1965" w14:anchorId="730D3F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9.6pt;height:98.4pt" o:ole="">
            <v:imagedata r:id="rId8" o:title=""/>
          </v:shape>
          <o:OLEObject Type="Embed" ProgID="Word.Document.8" ShapeID="_x0000_i1025" DrawAspect="Content" ObjectID="_1577163073" r:id="rId9">
            <o:FieldCodes>\s</o:FieldCodes>
          </o:OLEObject>
        </w:object>
      </w:r>
    </w:p>
    <w:tbl>
      <w:tblPr>
        <w:tblW w:w="14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3420"/>
        <w:gridCol w:w="3870"/>
        <w:gridCol w:w="2970"/>
        <w:gridCol w:w="2610"/>
        <w:gridCol w:w="1206"/>
      </w:tblGrid>
      <w:tr w:rsidR="00BA340E" w:rsidRPr="00EC2382" w14:paraId="26898F20" w14:textId="77777777" w:rsidTr="00EE4F9F">
        <w:trPr>
          <w:tblHeader/>
          <w:jc w:val="center"/>
        </w:trPr>
        <w:tc>
          <w:tcPr>
            <w:tcW w:w="612" w:type="dxa"/>
            <w:tcBorders>
              <w:top w:val="single" w:sz="4" w:space="0" w:color="FF0000"/>
              <w:left w:val="single" w:sz="4" w:space="0" w:color="FF0000"/>
              <w:bottom w:val="single" w:sz="4" w:space="0" w:color="FF0000"/>
              <w:right w:val="single" w:sz="4" w:space="0" w:color="FF0000"/>
            </w:tcBorders>
            <w:shd w:val="clear" w:color="auto" w:fill="D60030"/>
            <w:vAlign w:val="center"/>
          </w:tcPr>
          <w:p w14:paraId="5708D4A8" w14:textId="77777777" w:rsidR="00BB0667" w:rsidRPr="00EC2382" w:rsidRDefault="00BB0667" w:rsidP="00EA5B96">
            <w:pPr>
              <w:pStyle w:val="StyleAC-table-hed85ptWhiteCentered"/>
              <w:rPr>
                <w:rFonts w:asciiTheme="minorHAnsi" w:hAnsiTheme="minorHAnsi" w:cstheme="minorHAnsi"/>
                <w:b/>
                <w:sz w:val="20"/>
              </w:rPr>
            </w:pPr>
            <w:r w:rsidRPr="00EC2382">
              <w:rPr>
                <w:rFonts w:asciiTheme="minorHAnsi" w:hAnsiTheme="minorHAnsi" w:cstheme="minorHAnsi"/>
                <w:b/>
                <w:sz w:val="20"/>
              </w:rPr>
              <w:t>No.</w:t>
            </w:r>
          </w:p>
        </w:tc>
        <w:tc>
          <w:tcPr>
            <w:tcW w:w="3420" w:type="dxa"/>
            <w:tcBorders>
              <w:top w:val="single" w:sz="4" w:space="0" w:color="FF0000"/>
              <w:left w:val="single" w:sz="4" w:space="0" w:color="FF0000"/>
              <w:bottom w:val="single" w:sz="4" w:space="0" w:color="FF0000"/>
              <w:right w:val="single" w:sz="4" w:space="0" w:color="FF0000"/>
            </w:tcBorders>
            <w:shd w:val="clear" w:color="auto" w:fill="960022"/>
            <w:vAlign w:val="center"/>
          </w:tcPr>
          <w:p w14:paraId="08D307BA" w14:textId="77777777" w:rsidR="00BB0667" w:rsidRPr="00EC2382" w:rsidRDefault="00BB0667" w:rsidP="00EA5B96">
            <w:pPr>
              <w:pStyle w:val="AC-table-hed"/>
              <w:tabs>
                <w:tab w:val="clear" w:pos="5735"/>
                <w:tab w:val="clear" w:pos="7906"/>
                <w:tab w:val="clear" w:pos="10080"/>
              </w:tabs>
              <w:jc w:val="center"/>
              <w:rPr>
                <w:rFonts w:asciiTheme="minorHAnsi" w:hAnsiTheme="minorHAnsi" w:cstheme="minorHAnsi"/>
                <w:b/>
                <w:color w:val="FFFFFF"/>
                <w:sz w:val="20"/>
              </w:rPr>
            </w:pPr>
            <w:r w:rsidRPr="00EC2382">
              <w:rPr>
                <w:rFonts w:asciiTheme="minorHAnsi" w:hAnsiTheme="minorHAnsi" w:cstheme="minorHAnsi"/>
                <w:b/>
                <w:color w:val="FFFFFF"/>
                <w:sz w:val="20"/>
              </w:rPr>
              <w:t>Problem</w:t>
            </w:r>
          </w:p>
        </w:tc>
        <w:tc>
          <w:tcPr>
            <w:tcW w:w="3870" w:type="dxa"/>
            <w:tcBorders>
              <w:top w:val="single" w:sz="4" w:space="0" w:color="FF0000"/>
              <w:left w:val="single" w:sz="4" w:space="0" w:color="FF0000"/>
              <w:bottom w:val="single" w:sz="4" w:space="0" w:color="FF0000"/>
              <w:right w:val="single" w:sz="4" w:space="0" w:color="FF0000"/>
            </w:tcBorders>
            <w:shd w:val="clear" w:color="auto" w:fill="D60030"/>
            <w:vAlign w:val="center"/>
          </w:tcPr>
          <w:p w14:paraId="22DC241E" w14:textId="77777777" w:rsidR="00BB0667" w:rsidRPr="00EC2382" w:rsidRDefault="00BB0667" w:rsidP="00EA5B96">
            <w:pPr>
              <w:pStyle w:val="AC-table-hed"/>
              <w:tabs>
                <w:tab w:val="clear" w:pos="5735"/>
                <w:tab w:val="clear" w:pos="7906"/>
                <w:tab w:val="clear" w:pos="10080"/>
              </w:tabs>
              <w:jc w:val="center"/>
              <w:rPr>
                <w:rFonts w:asciiTheme="minorHAnsi" w:hAnsiTheme="minorHAnsi" w:cstheme="minorHAnsi"/>
                <w:b/>
                <w:color w:val="FFFFFF"/>
                <w:sz w:val="20"/>
              </w:rPr>
            </w:pPr>
            <w:r w:rsidRPr="00EC2382">
              <w:rPr>
                <w:rFonts w:asciiTheme="minorHAnsi" w:hAnsiTheme="minorHAnsi" w:cstheme="minorHAnsi"/>
                <w:b/>
                <w:color w:val="FFFFFF"/>
                <w:sz w:val="20"/>
              </w:rPr>
              <w:t>Recommendation</w:t>
            </w:r>
          </w:p>
        </w:tc>
        <w:tc>
          <w:tcPr>
            <w:tcW w:w="2970" w:type="dxa"/>
            <w:tcBorders>
              <w:top w:val="single" w:sz="4" w:space="0" w:color="FF0000"/>
              <w:left w:val="single" w:sz="4" w:space="0" w:color="FF0000"/>
              <w:bottom w:val="single" w:sz="4" w:space="0" w:color="FF0000"/>
              <w:right w:val="single" w:sz="4" w:space="0" w:color="FF0000"/>
            </w:tcBorders>
            <w:shd w:val="clear" w:color="auto" w:fill="960022"/>
            <w:vAlign w:val="center"/>
          </w:tcPr>
          <w:p w14:paraId="7262598E" w14:textId="77777777" w:rsidR="00BB0667" w:rsidRPr="00EC2382" w:rsidRDefault="00BB0667" w:rsidP="00EA5B96">
            <w:pPr>
              <w:pStyle w:val="AC-table-hed"/>
              <w:tabs>
                <w:tab w:val="clear" w:pos="5735"/>
                <w:tab w:val="clear" w:pos="7906"/>
                <w:tab w:val="clear" w:pos="10080"/>
              </w:tabs>
              <w:jc w:val="center"/>
              <w:rPr>
                <w:rFonts w:asciiTheme="minorHAnsi" w:hAnsiTheme="minorHAnsi" w:cstheme="minorHAnsi"/>
                <w:b/>
                <w:color w:val="FFFFFF"/>
                <w:sz w:val="20"/>
              </w:rPr>
            </w:pPr>
            <w:r w:rsidRPr="00EC2382">
              <w:rPr>
                <w:rFonts w:asciiTheme="minorHAnsi" w:hAnsiTheme="minorHAnsi" w:cstheme="minorHAnsi"/>
                <w:b/>
                <w:color w:val="FFFFFF"/>
                <w:sz w:val="20"/>
              </w:rPr>
              <w:t>Organization Assessment</w:t>
            </w:r>
          </w:p>
        </w:tc>
        <w:tc>
          <w:tcPr>
            <w:tcW w:w="2610" w:type="dxa"/>
            <w:tcBorders>
              <w:top w:val="single" w:sz="4" w:space="0" w:color="FF0000"/>
              <w:left w:val="single" w:sz="4" w:space="0" w:color="FF0000"/>
              <w:bottom w:val="single" w:sz="4" w:space="0" w:color="FF0000"/>
              <w:right w:val="single" w:sz="4" w:space="0" w:color="FF0000"/>
            </w:tcBorders>
            <w:shd w:val="clear" w:color="auto" w:fill="D60030"/>
          </w:tcPr>
          <w:p w14:paraId="42128171" w14:textId="77777777" w:rsidR="00BB0667" w:rsidRPr="00EC2382" w:rsidRDefault="00BB0667" w:rsidP="008C5601">
            <w:pPr>
              <w:pStyle w:val="AC-table-hed"/>
              <w:tabs>
                <w:tab w:val="clear" w:pos="5735"/>
                <w:tab w:val="clear" w:pos="7906"/>
                <w:tab w:val="clear" w:pos="10080"/>
              </w:tabs>
              <w:jc w:val="center"/>
              <w:rPr>
                <w:rFonts w:asciiTheme="minorHAnsi" w:hAnsiTheme="minorHAnsi" w:cstheme="minorHAnsi"/>
                <w:b/>
                <w:color w:val="FFFFFF"/>
                <w:sz w:val="20"/>
              </w:rPr>
            </w:pPr>
            <w:r w:rsidRPr="00EC2382">
              <w:rPr>
                <w:rFonts w:asciiTheme="minorHAnsi" w:hAnsiTheme="minorHAnsi" w:cstheme="minorHAnsi"/>
                <w:b/>
                <w:color w:val="FFFFFF"/>
                <w:sz w:val="20"/>
              </w:rPr>
              <w:t>Action Required/</w:t>
            </w:r>
            <w:r w:rsidR="008219D3" w:rsidRPr="00EC2382">
              <w:rPr>
                <w:rFonts w:asciiTheme="minorHAnsi" w:hAnsiTheme="minorHAnsi" w:cstheme="minorHAnsi"/>
                <w:b/>
                <w:color w:val="FFFFFF"/>
                <w:sz w:val="20"/>
              </w:rPr>
              <w:t xml:space="preserve"> </w:t>
            </w:r>
            <w:r w:rsidRPr="00EC2382">
              <w:rPr>
                <w:rFonts w:asciiTheme="minorHAnsi" w:hAnsiTheme="minorHAnsi" w:cstheme="minorHAnsi"/>
                <w:b/>
                <w:color w:val="FFFFFF"/>
                <w:sz w:val="20"/>
              </w:rPr>
              <w:t>Assignment</w:t>
            </w:r>
          </w:p>
        </w:tc>
        <w:tc>
          <w:tcPr>
            <w:tcW w:w="1206" w:type="dxa"/>
            <w:tcBorders>
              <w:top w:val="single" w:sz="4" w:space="0" w:color="FF0000"/>
              <w:left w:val="single" w:sz="4" w:space="0" w:color="FF0000"/>
              <w:bottom w:val="single" w:sz="4" w:space="0" w:color="FF0000"/>
              <w:right w:val="single" w:sz="4" w:space="0" w:color="FF0000"/>
            </w:tcBorders>
            <w:shd w:val="clear" w:color="auto" w:fill="960022"/>
          </w:tcPr>
          <w:p w14:paraId="5AFC9268" w14:textId="77777777" w:rsidR="00BB0667" w:rsidRPr="00EC2382" w:rsidRDefault="00BB0667" w:rsidP="008C5601">
            <w:pPr>
              <w:pStyle w:val="AC-table-hed"/>
              <w:tabs>
                <w:tab w:val="clear" w:pos="5735"/>
                <w:tab w:val="clear" w:pos="7906"/>
                <w:tab w:val="clear" w:pos="10080"/>
              </w:tabs>
              <w:jc w:val="center"/>
              <w:rPr>
                <w:rFonts w:asciiTheme="minorHAnsi" w:hAnsiTheme="minorHAnsi" w:cstheme="minorHAnsi"/>
                <w:b/>
                <w:color w:val="FFFFFF"/>
                <w:sz w:val="20"/>
              </w:rPr>
            </w:pPr>
            <w:r w:rsidRPr="00EC2382">
              <w:rPr>
                <w:rFonts w:asciiTheme="minorHAnsi" w:hAnsiTheme="minorHAnsi" w:cstheme="minorHAnsi"/>
                <w:b/>
                <w:color w:val="FFFFFF"/>
                <w:sz w:val="20"/>
              </w:rPr>
              <w:t>Date Completed</w:t>
            </w:r>
          </w:p>
        </w:tc>
      </w:tr>
      <w:tr w:rsidR="00FC340D" w:rsidRPr="00EC2382" w14:paraId="10212456" w14:textId="77777777" w:rsidTr="008C5601">
        <w:trPr>
          <w:jc w:val="center"/>
        </w:trPr>
        <w:tc>
          <w:tcPr>
            <w:tcW w:w="14688" w:type="dxa"/>
            <w:gridSpan w:val="6"/>
            <w:tcBorders>
              <w:top w:val="single" w:sz="4" w:space="0" w:color="FF0000"/>
              <w:left w:val="single" w:sz="4" w:space="0" w:color="FF0000"/>
              <w:bottom w:val="single" w:sz="4" w:space="0" w:color="FF0000"/>
              <w:right w:val="single" w:sz="4" w:space="0" w:color="FF0000"/>
            </w:tcBorders>
            <w:shd w:val="clear" w:color="auto" w:fill="EACB8B"/>
          </w:tcPr>
          <w:p w14:paraId="06449552" w14:textId="77777777" w:rsidR="00FC340D" w:rsidRPr="00EC2382" w:rsidRDefault="00FC340D" w:rsidP="00FC7ECB">
            <w:pPr>
              <w:pStyle w:val="AGENDA-table-titles"/>
              <w:tabs>
                <w:tab w:val="clear" w:pos="5735"/>
                <w:tab w:val="clear" w:pos="7906"/>
                <w:tab w:val="clear" w:pos="10080"/>
              </w:tabs>
              <w:rPr>
                <w:rFonts w:asciiTheme="minorHAnsi" w:hAnsiTheme="minorHAnsi" w:cstheme="minorHAnsi"/>
                <w:sz w:val="20"/>
              </w:rPr>
            </w:pPr>
            <w:r w:rsidRPr="00EC2382">
              <w:rPr>
                <w:rFonts w:asciiTheme="minorHAnsi" w:hAnsiTheme="minorHAnsi" w:cstheme="minorHAnsi"/>
                <w:sz w:val="20"/>
              </w:rPr>
              <w:t xml:space="preserve">ISMP Targeted Medication Safety Best Practices (TMSBPs) for Hospitals 2018-2019 </w:t>
            </w:r>
          </w:p>
        </w:tc>
      </w:tr>
      <w:tr w:rsidR="00FC340D" w:rsidRPr="00EC2382" w14:paraId="7EE35B1C" w14:textId="77777777" w:rsidTr="00EE4F9F">
        <w:trPr>
          <w:jc w:val="center"/>
        </w:trPr>
        <w:tc>
          <w:tcPr>
            <w:tcW w:w="612" w:type="dxa"/>
            <w:tcBorders>
              <w:top w:val="single" w:sz="4" w:space="0" w:color="FF0000"/>
              <w:left w:val="single" w:sz="4" w:space="0" w:color="FF0000"/>
              <w:bottom w:val="single" w:sz="4" w:space="0" w:color="FF0000"/>
              <w:right w:val="single" w:sz="4" w:space="0" w:color="FF0000"/>
            </w:tcBorders>
            <w:shd w:val="clear" w:color="auto" w:fill="F0EBD3"/>
          </w:tcPr>
          <w:p w14:paraId="627BBDE6" w14:textId="77777777" w:rsidR="00FC340D" w:rsidRPr="00EC2382" w:rsidRDefault="00FC340D" w:rsidP="00260A21">
            <w:pPr>
              <w:pStyle w:val="AGENDA-body"/>
              <w:rPr>
                <w:rFonts w:asciiTheme="minorHAnsi" w:hAnsiTheme="minorHAnsi" w:cstheme="minorHAnsi"/>
              </w:rPr>
            </w:pPr>
            <w:r w:rsidRPr="00EC2382">
              <w:rPr>
                <w:rFonts w:asciiTheme="minorHAnsi" w:hAnsiTheme="minorHAnsi" w:cstheme="minorHAnsi"/>
              </w:rPr>
              <w:t xml:space="preserve">(25) </w:t>
            </w:r>
          </w:p>
          <w:p w14:paraId="40310569" w14:textId="77777777" w:rsidR="00FC340D" w:rsidRPr="00EC2382" w:rsidRDefault="00FC340D" w:rsidP="00260A21">
            <w:pPr>
              <w:pStyle w:val="AC-table-body"/>
              <w:tabs>
                <w:tab w:val="clear" w:pos="5735"/>
                <w:tab w:val="clear" w:pos="7906"/>
                <w:tab w:val="clear" w:pos="10080"/>
              </w:tabs>
              <w:rPr>
                <w:rFonts w:asciiTheme="minorHAnsi" w:hAnsiTheme="minorHAnsi" w:cstheme="minorHAnsi"/>
              </w:rPr>
            </w:pPr>
            <w:r w:rsidRPr="00EC2382">
              <w:rPr>
                <w:rFonts w:asciiTheme="minorHAnsi" w:hAnsiTheme="minorHAnsi" w:cstheme="minorHAnsi"/>
                <w:noProof/>
              </w:rPr>
              <w:drawing>
                <wp:inline distT="0" distB="0" distL="0" distR="0" wp14:anchorId="122DEEE4" wp14:editId="07325E0C">
                  <wp:extent cx="152387" cy="12191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 safety icon-alert.png"/>
                          <pic:cNvPicPr/>
                        </pic:nvPicPr>
                        <pic:blipFill>
                          <a:blip r:embed="rId10">
                            <a:extLst>
                              <a:ext uri="{28A0092B-C50C-407E-A947-70E740481C1C}">
                                <a14:useLocalDpi xmlns:a14="http://schemas.microsoft.com/office/drawing/2010/main" val="0"/>
                              </a:ext>
                            </a:extLst>
                          </a:blip>
                          <a:stretch>
                            <a:fillRect/>
                          </a:stretch>
                        </pic:blipFill>
                        <pic:spPr>
                          <a:xfrm>
                            <a:off x="0" y="0"/>
                            <a:ext cx="152387" cy="121910"/>
                          </a:xfrm>
                          <a:prstGeom prst="rect">
                            <a:avLst/>
                          </a:prstGeom>
                        </pic:spPr>
                      </pic:pic>
                    </a:graphicData>
                  </a:graphic>
                </wp:inline>
              </w:drawing>
            </w:r>
          </w:p>
        </w:tc>
        <w:tc>
          <w:tcPr>
            <w:tcW w:w="3420" w:type="dxa"/>
            <w:tcBorders>
              <w:top w:val="single" w:sz="4" w:space="0" w:color="FF0000"/>
              <w:left w:val="single" w:sz="4" w:space="0" w:color="FF0000"/>
              <w:bottom w:val="single" w:sz="4" w:space="0" w:color="FF0000"/>
              <w:right w:val="single" w:sz="4" w:space="0" w:color="FF0000"/>
            </w:tcBorders>
            <w:shd w:val="clear" w:color="auto" w:fill="FFF3D6"/>
          </w:tcPr>
          <w:p w14:paraId="33A9535A" w14:textId="77777777" w:rsidR="00FC340D" w:rsidRPr="00EC2382" w:rsidRDefault="00FC340D" w:rsidP="00FC7ECB">
            <w:pPr>
              <w:pStyle w:val="AGENDA-body"/>
              <w:tabs>
                <w:tab w:val="clear" w:pos="5735"/>
                <w:tab w:val="clear" w:pos="7906"/>
                <w:tab w:val="clear" w:pos="10080"/>
              </w:tabs>
              <w:rPr>
                <w:rFonts w:asciiTheme="minorHAnsi" w:hAnsiTheme="minorHAnsi" w:cstheme="minorHAnsi"/>
                <w:spacing w:val="-8"/>
              </w:rPr>
            </w:pPr>
            <w:r w:rsidRPr="00EC2382">
              <w:rPr>
                <w:rFonts w:asciiTheme="minorHAnsi" w:hAnsiTheme="minorHAnsi" w:cstheme="minorHAnsi"/>
                <w:spacing w:val="-8"/>
              </w:rPr>
              <w:t>The ISMP 2018-2019 TMSBPs for Hospitals include 2 revised and 3 new practices (</w:t>
            </w:r>
            <w:r w:rsidRPr="00EC2382">
              <w:rPr>
                <w:rFonts w:asciiTheme="minorHAnsi" w:hAnsiTheme="minorHAnsi" w:cstheme="minorHAnsi"/>
                <w:color w:val="0000FF"/>
                <w:spacing w:val="-8"/>
                <w:u w:val="single"/>
              </w:rPr>
              <w:t>www.ismp.org/sc?id=1750</w:t>
            </w:r>
            <w:r w:rsidRPr="00EC2382">
              <w:rPr>
                <w:rFonts w:asciiTheme="minorHAnsi" w:hAnsiTheme="minorHAnsi" w:cstheme="minorHAnsi"/>
                <w:spacing w:val="-8"/>
              </w:rPr>
              <w:t>). The new prac</w:t>
            </w:r>
            <w:r w:rsidR="00EC2382">
              <w:rPr>
                <w:rFonts w:asciiTheme="minorHAnsi" w:hAnsiTheme="minorHAnsi" w:cstheme="minorHAnsi"/>
                <w:spacing w:val="-8"/>
              </w:rPr>
              <w:t>-</w:t>
            </w:r>
            <w:r w:rsidRPr="00EC2382">
              <w:rPr>
                <w:rFonts w:asciiTheme="minorHAnsi" w:hAnsiTheme="minorHAnsi" w:cstheme="minorHAnsi"/>
                <w:spacing w:val="-8"/>
              </w:rPr>
              <w:t>tices include eliminating the prescribing of fenta</w:t>
            </w:r>
            <w:r w:rsidRPr="00EC2382">
              <w:rPr>
                <w:rFonts w:asciiTheme="minorHAnsi" w:hAnsiTheme="minorHAnsi" w:cstheme="minorHAnsi"/>
                <w:b/>
                <w:spacing w:val="-8"/>
              </w:rPr>
              <w:t>NYL</w:t>
            </w:r>
            <w:r w:rsidRPr="00EC2382">
              <w:rPr>
                <w:rFonts w:asciiTheme="minorHAnsi" w:hAnsiTheme="minorHAnsi" w:cstheme="minorHAnsi"/>
                <w:spacing w:val="-8"/>
              </w:rPr>
              <w:t xml:space="preserve"> patches for opioid-naïve patients or acute pain, removing injectable pro</w:t>
            </w:r>
            <w:r w:rsidR="00EC2382">
              <w:rPr>
                <w:rFonts w:asciiTheme="minorHAnsi" w:hAnsiTheme="minorHAnsi" w:cstheme="minorHAnsi"/>
                <w:spacing w:val="-8"/>
              </w:rPr>
              <w:t>-</w:t>
            </w:r>
            <w:r w:rsidRPr="00EC2382">
              <w:rPr>
                <w:rFonts w:asciiTheme="minorHAnsi" w:hAnsiTheme="minorHAnsi" w:cstheme="minorHAnsi"/>
                <w:spacing w:val="-8"/>
              </w:rPr>
              <w:t xml:space="preserve">methazine from formularies, and proactive use of external risk and error information. </w:t>
            </w:r>
          </w:p>
        </w:tc>
        <w:tc>
          <w:tcPr>
            <w:tcW w:w="3870" w:type="dxa"/>
            <w:tcBorders>
              <w:top w:val="single" w:sz="4" w:space="0" w:color="FF0000"/>
              <w:left w:val="single" w:sz="4" w:space="0" w:color="FF0000"/>
              <w:bottom w:val="single" w:sz="4" w:space="0" w:color="FF0000"/>
              <w:right w:val="single" w:sz="4" w:space="0" w:color="FF0000"/>
            </w:tcBorders>
            <w:shd w:val="clear" w:color="auto" w:fill="F0EBD3"/>
          </w:tcPr>
          <w:p w14:paraId="01EF851B" w14:textId="77777777" w:rsidR="00FC340D" w:rsidRPr="00EC2382" w:rsidRDefault="00FC340D" w:rsidP="00FC7ECB">
            <w:pPr>
              <w:pStyle w:val="AGENDA-body"/>
              <w:tabs>
                <w:tab w:val="clear" w:pos="5735"/>
                <w:tab w:val="clear" w:pos="7906"/>
                <w:tab w:val="clear" w:pos="10080"/>
              </w:tabs>
              <w:rPr>
                <w:rFonts w:asciiTheme="minorHAnsi" w:hAnsiTheme="minorHAnsi" w:cstheme="minorHAnsi"/>
              </w:rPr>
            </w:pPr>
            <w:r w:rsidRPr="00EC2382">
              <w:rPr>
                <w:rFonts w:asciiTheme="minorHAnsi" w:hAnsiTheme="minorHAnsi" w:cstheme="minorHAnsi"/>
                <w:spacing w:val="-7"/>
              </w:rPr>
              <w:t xml:space="preserve">ISMP encourages hospitals that have not implemented the 2016-2017 TMSBPs to do so as a priority, while implementing the new 2018–2019 best practices. Hospitals can compare their level of implementation of the 2014-2015 and the 2016-2017 TMSBPs to other hospitals via survey data available at: </w:t>
            </w:r>
            <w:r w:rsidRPr="00EC2382">
              <w:rPr>
                <w:rFonts w:asciiTheme="minorHAnsi" w:hAnsiTheme="minorHAnsi" w:cstheme="minorHAnsi"/>
                <w:color w:val="0000FF"/>
                <w:spacing w:val="-7"/>
                <w:u w:val="single"/>
              </w:rPr>
              <w:t>www.ismp.org/sc?id=3063</w:t>
            </w:r>
            <w:r w:rsidRPr="00EC2382">
              <w:rPr>
                <w:rFonts w:asciiTheme="minorHAnsi" w:hAnsiTheme="minorHAnsi" w:cstheme="minorHAnsi"/>
                <w:spacing w:val="-7"/>
              </w:rPr>
              <w:t>.</w:t>
            </w:r>
          </w:p>
        </w:tc>
        <w:tc>
          <w:tcPr>
            <w:tcW w:w="2970" w:type="dxa"/>
            <w:tcBorders>
              <w:top w:val="single" w:sz="4" w:space="0" w:color="FF0000"/>
              <w:left w:val="single" w:sz="4" w:space="0" w:color="FF0000"/>
              <w:bottom w:val="single" w:sz="4" w:space="0" w:color="FF0000"/>
              <w:right w:val="single" w:sz="4" w:space="0" w:color="FF0000"/>
            </w:tcBorders>
          </w:tcPr>
          <w:p w14:paraId="5CD21561" w14:textId="77777777" w:rsidR="00FC340D" w:rsidRPr="00EC2382" w:rsidRDefault="00FC340D" w:rsidP="008C5601">
            <w:pPr>
              <w:pStyle w:val="AC-table-body"/>
              <w:tabs>
                <w:tab w:val="clear" w:pos="5735"/>
                <w:tab w:val="clear" w:pos="7906"/>
                <w:tab w:val="clear" w:pos="10080"/>
              </w:tabs>
              <w:rPr>
                <w:rFonts w:asciiTheme="minorHAnsi" w:hAnsiTheme="minorHAnsi" w:cstheme="minorHAnsi"/>
              </w:rPr>
            </w:pPr>
            <w:r w:rsidRPr="00EC2382">
              <w:rPr>
                <w:rFonts w:asciiTheme="minorHAnsi" w:hAnsiTheme="minorHAnsi" w:cstheme="minorHAnsi"/>
              </w:rPr>
              <w:t xml:space="preserve"> </w:t>
            </w:r>
          </w:p>
        </w:tc>
        <w:tc>
          <w:tcPr>
            <w:tcW w:w="2610" w:type="dxa"/>
            <w:tcBorders>
              <w:top w:val="single" w:sz="4" w:space="0" w:color="FF0000"/>
              <w:left w:val="single" w:sz="4" w:space="0" w:color="FF0000"/>
              <w:bottom w:val="single" w:sz="4" w:space="0" w:color="FF0000"/>
              <w:right w:val="single" w:sz="4" w:space="0" w:color="FF0000"/>
            </w:tcBorders>
          </w:tcPr>
          <w:p w14:paraId="028B0967" w14:textId="77777777" w:rsidR="00FC340D" w:rsidRPr="00EC2382" w:rsidRDefault="00FC340D" w:rsidP="008C5601">
            <w:pPr>
              <w:pStyle w:val="AC-table-body"/>
              <w:tabs>
                <w:tab w:val="clear" w:pos="5735"/>
                <w:tab w:val="clear" w:pos="7906"/>
                <w:tab w:val="clear" w:pos="10080"/>
              </w:tabs>
              <w:rPr>
                <w:rFonts w:asciiTheme="minorHAnsi" w:hAnsiTheme="minorHAnsi" w:cstheme="minorHAnsi"/>
              </w:rPr>
            </w:pPr>
          </w:p>
        </w:tc>
        <w:tc>
          <w:tcPr>
            <w:tcW w:w="1206" w:type="dxa"/>
            <w:tcBorders>
              <w:top w:val="single" w:sz="4" w:space="0" w:color="FF0000"/>
              <w:left w:val="single" w:sz="4" w:space="0" w:color="FF0000"/>
              <w:bottom w:val="single" w:sz="4" w:space="0" w:color="FF0000"/>
              <w:right w:val="single" w:sz="4" w:space="0" w:color="FF0000"/>
            </w:tcBorders>
          </w:tcPr>
          <w:p w14:paraId="2AF472C3" w14:textId="77777777" w:rsidR="00FC340D" w:rsidRPr="00EC2382" w:rsidRDefault="00FC340D" w:rsidP="008C5601">
            <w:pPr>
              <w:pStyle w:val="AC-table-body"/>
              <w:tabs>
                <w:tab w:val="clear" w:pos="5735"/>
                <w:tab w:val="clear" w:pos="7906"/>
                <w:tab w:val="clear" w:pos="10080"/>
              </w:tabs>
              <w:rPr>
                <w:rFonts w:asciiTheme="minorHAnsi" w:hAnsiTheme="minorHAnsi" w:cstheme="minorHAnsi"/>
              </w:rPr>
            </w:pPr>
          </w:p>
        </w:tc>
      </w:tr>
      <w:tr w:rsidR="007C295F" w:rsidRPr="00EC2382" w14:paraId="5D8910D8" w14:textId="77777777" w:rsidTr="008C5601">
        <w:trPr>
          <w:jc w:val="center"/>
        </w:trPr>
        <w:tc>
          <w:tcPr>
            <w:tcW w:w="14688" w:type="dxa"/>
            <w:gridSpan w:val="6"/>
            <w:tcBorders>
              <w:top w:val="single" w:sz="4" w:space="0" w:color="FF0000"/>
              <w:left w:val="single" w:sz="4" w:space="0" w:color="FF0000"/>
              <w:bottom w:val="single" w:sz="4" w:space="0" w:color="FF0000"/>
              <w:right w:val="single" w:sz="4" w:space="0" w:color="FF0000"/>
            </w:tcBorders>
            <w:shd w:val="clear" w:color="auto" w:fill="EACB8B"/>
          </w:tcPr>
          <w:p w14:paraId="732B41D2" w14:textId="77777777" w:rsidR="007C295F" w:rsidRPr="00EC2382" w:rsidRDefault="007C295F" w:rsidP="00FC7ECB">
            <w:pPr>
              <w:pStyle w:val="AGENDA-table-titles"/>
              <w:tabs>
                <w:tab w:val="clear" w:pos="5735"/>
                <w:tab w:val="clear" w:pos="7906"/>
                <w:tab w:val="clear" w:pos="10080"/>
              </w:tabs>
              <w:rPr>
                <w:rFonts w:asciiTheme="minorHAnsi" w:hAnsiTheme="minorHAnsi" w:cstheme="minorHAnsi"/>
                <w:sz w:val="20"/>
              </w:rPr>
            </w:pPr>
            <w:r w:rsidRPr="00EC2382">
              <w:rPr>
                <w:rFonts w:asciiTheme="minorHAnsi" w:hAnsiTheme="minorHAnsi" w:cstheme="minorHAnsi"/>
                <w:sz w:val="20"/>
              </w:rPr>
              <w:t>Flow rate documentation errors with interoperable smart infusion pumps due to duplicate barcodes</w:t>
            </w:r>
          </w:p>
        </w:tc>
      </w:tr>
      <w:tr w:rsidR="007C295F" w:rsidRPr="00EC2382" w14:paraId="49329A8F" w14:textId="77777777" w:rsidTr="00EE4F9F">
        <w:trPr>
          <w:jc w:val="center"/>
        </w:trPr>
        <w:tc>
          <w:tcPr>
            <w:tcW w:w="612" w:type="dxa"/>
            <w:tcBorders>
              <w:top w:val="single" w:sz="4" w:space="0" w:color="FF0000"/>
              <w:left w:val="single" w:sz="4" w:space="0" w:color="FF0000"/>
              <w:bottom w:val="single" w:sz="4" w:space="0" w:color="FF0000"/>
              <w:right w:val="single" w:sz="4" w:space="0" w:color="FF0000"/>
            </w:tcBorders>
            <w:shd w:val="clear" w:color="auto" w:fill="F0EBD3"/>
          </w:tcPr>
          <w:p w14:paraId="6E581C89" w14:textId="77777777" w:rsidR="007C295F" w:rsidRPr="00EC2382" w:rsidRDefault="007C295F" w:rsidP="004847A3">
            <w:pPr>
              <w:pStyle w:val="AGENDA-body"/>
              <w:rPr>
                <w:rFonts w:asciiTheme="minorHAnsi" w:hAnsiTheme="minorHAnsi" w:cstheme="minorHAnsi"/>
              </w:rPr>
            </w:pPr>
            <w:r w:rsidRPr="00EC2382">
              <w:rPr>
                <w:rFonts w:asciiTheme="minorHAnsi" w:hAnsiTheme="minorHAnsi" w:cstheme="minorHAnsi"/>
              </w:rPr>
              <w:t>(24)</w:t>
            </w:r>
            <w:r w:rsidRPr="00EC2382">
              <w:rPr>
                <w:rFonts w:asciiTheme="minorHAnsi" w:eastAsia="Akzidenz Grotesk BE Cn" w:hAnsiTheme="minorHAnsi" w:cstheme="minorHAnsi"/>
              </w:rPr>
              <w:t xml:space="preserve"> </w:t>
            </w:r>
          </w:p>
          <w:p w14:paraId="454BAD74" w14:textId="77777777" w:rsidR="007C295F" w:rsidRPr="00EC2382" w:rsidRDefault="007C295F" w:rsidP="004847A3">
            <w:pPr>
              <w:pStyle w:val="AGENDA-body"/>
              <w:tabs>
                <w:tab w:val="clear" w:pos="5735"/>
                <w:tab w:val="clear" w:pos="7906"/>
                <w:tab w:val="clear" w:pos="10080"/>
              </w:tabs>
              <w:rPr>
                <w:rFonts w:asciiTheme="minorHAnsi" w:hAnsiTheme="minorHAnsi" w:cstheme="minorHAnsi"/>
              </w:rPr>
            </w:pPr>
            <w:r w:rsidRPr="00EC2382">
              <w:rPr>
                <w:rFonts w:asciiTheme="minorHAnsi" w:hAnsiTheme="minorHAnsi" w:cstheme="minorHAnsi"/>
                <w:noProof/>
                <w:lang w:bidi="ar-SA"/>
              </w:rPr>
              <w:drawing>
                <wp:inline distT="0" distB="0" distL="0" distR="0" wp14:anchorId="324EB532" wp14:editId="108A19E8">
                  <wp:extent cx="152387" cy="12191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 safety icon-alert.png"/>
                          <pic:cNvPicPr/>
                        </pic:nvPicPr>
                        <pic:blipFill>
                          <a:blip r:embed="rId10">
                            <a:extLst>
                              <a:ext uri="{28A0092B-C50C-407E-A947-70E740481C1C}">
                                <a14:useLocalDpi xmlns:a14="http://schemas.microsoft.com/office/drawing/2010/main" val="0"/>
                              </a:ext>
                            </a:extLst>
                          </a:blip>
                          <a:stretch>
                            <a:fillRect/>
                          </a:stretch>
                        </pic:blipFill>
                        <pic:spPr>
                          <a:xfrm>
                            <a:off x="0" y="0"/>
                            <a:ext cx="152387" cy="121910"/>
                          </a:xfrm>
                          <a:prstGeom prst="rect">
                            <a:avLst/>
                          </a:prstGeom>
                        </pic:spPr>
                      </pic:pic>
                    </a:graphicData>
                  </a:graphic>
                </wp:inline>
              </w:drawing>
            </w:r>
          </w:p>
        </w:tc>
        <w:tc>
          <w:tcPr>
            <w:tcW w:w="3420" w:type="dxa"/>
            <w:tcBorders>
              <w:top w:val="single" w:sz="4" w:space="0" w:color="FF0000"/>
              <w:left w:val="single" w:sz="4" w:space="0" w:color="FF0000"/>
              <w:bottom w:val="single" w:sz="4" w:space="0" w:color="FF0000"/>
              <w:right w:val="single" w:sz="4" w:space="0" w:color="FF0000"/>
            </w:tcBorders>
            <w:shd w:val="clear" w:color="auto" w:fill="FFF3D6"/>
          </w:tcPr>
          <w:p w14:paraId="034A1462" w14:textId="77777777" w:rsidR="007C295F" w:rsidRPr="00EC2382" w:rsidRDefault="007C295F" w:rsidP="00FC7ECB">
            <w:pPr>
              <w:pStyle w:val="AGENDA-body"/>
              <w:tabs>
                <w:tab w:val="clear" w:pos="5735"/>
                <w:tab w:val="clear" w:pos="7906"/>
                <w:tab w:val="clear" w:pos="10080"/>
              </w:tabs>
              <w:rPr>
                <w:rFonts w:asciiTheme="minorHAnsi" w:hAnsiTheme="minorHAnsi" w:cstheme="minorHAnsi"/>
              </w:rPr>
            </w:pPr>
            <w:r w:rsidRPr="00EC2382">
              <w:rPr>
                <w:rFonts w:asciiTheme="minorHAnsi" w:hAnsiTheme="minorHAnsi" w:cstheme="minorHAnsi"/>
                <w:spacing w:val="-7"/>
              </w:rPr>
              <w:t>In a hospital with smart infusion pump interoperability, electronic documentation of an insulin infusion was being recorded intermittently at both 3 mL per hour (the correct rate) and 60 mL per hour.</w:t>
            </w:r>
            <w:r w:rsidR="00EC2382">
              <w:rPr>
                <w:rFonts w:asciiTheme="minorHAnsi" w:hAnsiTheme="minorHAnsi" w:cstheme="minorHAnsi"/>
                <w:spacing w:val="-7"/>
              </w:rPr>
              <w:t xml:space="preserve"> </w:t>
            </w:r>
            <w:r w:rsidRPr="00EC2382">
              <w:rPr>
                <w:rFonts w:asciiTheme="minorHAnsi" w:hAnsiTheme="minorHAnsi" w:cstheme="minorHAnsi"/>
                <w:spacing w:val="-7"/>
              </w:rPr>
              <w:t xml:space="preserve">Investigation revealed that the pump channel barcode was associated with two </w:t>
            </w:r>
            <w:r w:rsidRPr="00EC2382">
              <w:rPr>
                <w:rFonts w:asciiTheme="minorHAnsi" w:hAnsiTheme="minorHAnsi" w:cstheme="minorHAnsi"/>
                <w:i/>
                <w:spacing w:val="-7"/>
              </w:rPr>
              <w:t>different</w:t>
            </w:r>
            <w:r w:rsidRPr="00EC2382">
              <w:rPr>
                <w:rFonts w:asciiTheme="minorHAnsi" w:hAnsiTheme="minorHAnsi" w:cstheme="minorHAnsi"/>
                <w:spacing w:val="-7"/>
              </w:rPr>
              <w:t xml:space="preserve"> pump channels being used for two </w:t>
            </w:r>
            <w:r w:rsidRPr="00EC2382">
              <w:rPr>
                <w:rFonts w:asciiTheme="minorHAnsi" w:hAnsiTheme="minorHAnsi" w:cstheme="minorHAnsi"/>
                <w:i/>
                <w:spacing w:val="-7"/>
              </w:rPr>
              <w:t>different</w:t>
            </w:r>
            <w:r w:rsidRPr="00EC2382">
              <w:rPr>
                <w:rFonts w:asciiTheme="minorHAnsi" w:hAnsiTheme="minorHAnsi" w:cstheme="minorHAnsi"/>
                <w:spacing w:val="-7"/>
              </w:rPr>
              <w:t xml:space="preserve"> patients. Both channels had been labeled with the same barcode after pump repair. </w:t>
            </w:r>
            <w:r w:rsidRPr="00EC2382">
              <w:rPr>
                <w:rFonts w:asciiTheme="minorHAnsi" w:hAnsiTheme="minorHAnsi" w:cstheme="minorHAnsi"/>
              </w:rPr>
              <w:t xml:space="preserve"> </w:t>
            </w:r>
          </w:p>
        </w:tc>
        <w:tc>
          <w:tcPr>
            <w:tcW w:w="3870" w:type="dxa"/>
            <w:tcBorders>
              <w:top w:val="single" w:sz="4" w:space="0" w:color="FF0000"/>
              <w:left w:val="single" w:sz="4" w:space="0" w:color="FF0000"/>
              <w:bottom w:val="single" w:sz="4" w:space="0" w:color="FF0000"/>
              <w:right w:val="single" w:sz="4" w:space="0" w:color="FF0000"/>
            </w:tcBorders>
            <w:shd w:val="clear" w:color="auto" w:fill="F0EBD3"/>
          </w:tcPr>
          <w:p w14:paraId="4BFCB3E4" w14:textId="77777777" w:rsidR="007C295F" w:rsidRPr="00EC2382" w:rsidRDefault="007C295F" w:rsidP="00FC7ECB">
            <w:pPr>
              <w:pStyle w:val="AGENDA-body"/>
              <w:tabs>
                <w:tab w:val="clear" w:pos="5735"/>
                <w:tab w:val="clear" w:pos="7906"/>
                <w:tab w:val="clear" w:pos="10080"/>
              </w:tabs>
              <w:rPr>
                <w:rFonts w:asciiTheme="minorHAnsi" w:hAnsiTheme="minorHAnsi" w:cstheme="minorHAnsi"/>
                <w:spacing w:val="-7"/>
              </w:rPr>
            </w:pPr>
            <w:r w:rsidRPr="00EC2382">
              <w:rPr>
                <w:rFonts w:asciiTheme="minorHAnsi" w:hAnsiTheme="minorHAnsi" w:cstheme="minorHAnsi"/>
                <w:spacing w:val="-7"/>
              </w:rPr>
              <w:t>If you have implemented or plan to implement bidirectional smart infusion pump interoperability, conduct an independent double check when affixing barcodes to pump channels, verify the serial numbers and barcodes when pumps have been returned after repair, and ensure that internal serial numbers and information technology (IT)-applied barcodes all match before pumps leave the IT department.</w:t>
            </w:r>
          </w:p>
        </w:tc>
        <w:tc>
          <w:tcPr>
            <w:tcW w:w="2970" w:type="dxa"/>
            <w:tcBorders>
              <w:top w:val="single" w:sz="4" w:space="0" w:color="FF0000"/>
              <w:left w:val="single" w:sz="4" w:space="0" w:color="FF0000"/>
              <w:bottom w:val="single" w:sz="4" w:space="0" w:color="FF0000"/>
              <w:right w:val="single" w:sz="4" w:space="0" w:color="FF0000"/>
            </w:tcBorders>
          </w:tcPr>
          <w:p w14:paraId="388E05D3" w14:textId="77777777" w:rsidR="007C295F" w:rsidRPr="00EC2382" w:rsidRDefault="007C295F" w:rsidP="008C5601">
            <w:pPr>
              <w:pStyle w:val="AC-table-body"/>
              <w:tabs>
                <w:tab w:val="clear" w:pos="5735"/>
                <w:tab w:val="clear" w:pos="7906"/>
                <w:tab w:val="clear" w:pos="10080"/>
              </w:tabs>
              <w:rPr>
                <w:rFonts w:asciiTheme="minorHAnsi" w:hAnsiTheme="minorHAnsi" w:cstheme="minorHAnsi"/>
              </w:rPr>
            </w:pPr>
          </w:p>
        </w:tc>
        <w:tc>
          <w:tcPr>
            <w:tcW w:w="2610" w:type="dxa"/>
            <w:tcBorders>
              <w:top w:val="single" w:sz="4" w:space="0" w:color="FF0000"/>
              <w:left w:val="single" w:sz="4" w:space="0" w:color="FF0000"/>
              <w:bottom w:val="single" w:sz="4" w:space="0" w:color="FF0000"/>
              <w:right w:val="single" w:sz="4" w:space="0" w:color="FF0000"/>
            </w:tcBorders>
          </w:tcPr>
          <w:p w14:paraId="3B8251E2" w14:textId="77777777" w:rsidR="007C295F" w:rsidRPr="00EC2382" w:rsidRDefault="007C295F" w:rsidP="008C5601">
            <w:pPr>
              <w:pStyle w:val="AC-table-body"/>
              <w:tabs>
                <w:tab w:val="clear" w:pos="5735"/>
                <w:tab w:val="clear" w:pos="7906"/>
                <w:tab w:val="clear" w:pos="10080"/>
              </w:tabs>
              <w:rPr>
                <w:rFonts w:asciiTheme="minorHAnsi" w:hAnsiTheme="minorHAnsi" w:cstheme="minorHAnsi"/>
              </w:rPr>
            </w:pPr>
          </w:p>
        </w:tc>
        <w:tc>
          <w:tcPr>
            <w:tcW w:w="1206" w:type="dxa"/>
            <w:tcBorders>
              <w:top w:val="single" w:sz="4" w:space="0" w:color="FF0000"/>
              <w:left w:val="single" w:sz="4" w:space="0" w:color="FF0000"/>
              <w:bottom w:val="single" w:sz="4" w:space="0" w:color="FF0000"/>
              <w:right w:val="single" w:sz="4" w:space="0" w:color="FF0000"/>
            </w:tcBorders>
          </w:tcPr>
          <w:p w14:paraId="118C29F7" w14:textId="77777777" w:rsidR="007C295F" w:rsidRPr="00EC2382" w:rsidRDefault="007C295F" w:rsidP="008C5601">
            <w:pPr>
              <w:pStyle w:val="AC-table-body"/>
              <w:tabs>
                <w:tab w:val="clear" w:pos="5735"/>
                <w:tab w:val="clear" w:pos="7906"/>
                <w:tab w:val="clear" w:pos="10080"/>
              </w:tabs>
              <w:rPr>
                <w:rFonts w:asciiTheme="minorHAnsi" w:hAnsiTheme="minorHAnsi" w:cstheme="minorHAnsi"/>
              </w:rPr>
            </w:pPr>
          </w:p>
        </w:tc>
      </w:tr>
      <w:tr w:rsidR="007C295F" w:rsidRPr="00EC2382" w14:paraId="466239E4" w14:textId="77777777" w:rsidTr="008C5601">
        <w:trPr>
          <w:jc w:val="center"/>
        </w:trPr>
        <w:tc>
          <w:tcPr>
            <w:tcW w:w="14688" w:type="dxa"/>
            <w:gridSpan w:val="6"/>
            <w:tcBorders>
              <w:top w:val="single" w:sz="4" w:space="0" w:color="FF0000"/>
              <w:left w:val="single" w:sz="4" w:space="0" w:color="FF0000"/>
              <w:bottom w:val="single" w:sz="4" w:space="0" w:color="FF0000"/>
              <w:right w:val="single" w:sz="4" w:space="0" w:color="FF0000"/>
            </w:tcBorders>
            <w:shd w:val="clear" w:color="auto" w:fill="EACB8B"/>
          </w:tcPr>
          <w:p w14:paraId="356031C6" w14:textId="77777777" w:rsidR="007C295F" w:rsidRPr="00EC2382" w:rsidRDefault="007C295F" w:rsidP="00FC7ECB">
            <w:pPr>
              <w:pStyle w:val="AGENDA-table-titles"/>
              <w:tabs>
                <w:tab w:val="clear" w:pos="5735"/>
                <w:tab w:val="clear" w:pos="7906"/>
                <w:tab w:val="clear" w:pos="10080"/>
              </w:tabs>
              <w:rPr>
                <w:rFonts w:asciiTheme="minorHAnsi" w:hAnsiTheme="minorHAnsi" w:cstheme="minorHAnsi"/>
                <w:sz w:val="20"/>
              </w:rPr>
            </w:pPr>
            <w:r w:rsidRPr="00EC2382">
              <w:rPr>
                <w:rFonts w:asciiTheme="minorHAnsi" w:hAnsiTheme="minorHAnsi" w:cstheme="minorHAnsi"/>
                <w:sz w:val="20"/>
              </w:rPr>
              <w:t xml:space="preserve">Damaged or dirty BD Alaris inter-unit interface (IUI) connectors can lead to device errors </w:t>
            </w:r>
          </w:p>
        </w:tc>
      </w:tr>
      <w:tr w:rsidR="007C295F" w:rsidRPr="00EC2382" w14:paraId="30BA0571" w14:textId="77777777" w:rsidTr="00EC2382">
        <w:trPr>
          <w:trHeight w:val="1728"/>
          <w:jc w:val="center"/>
        </w:trPr>
        <w:tc>
          <w:tcPr>
            <w:tcW w:w="612" w:type="dxa"/>
            <w:tcBorders>
              <w:top w:val="single" w:sz="4" w:space="0" w:color="FF0000"/>
              <w:left w:val="single" w:sz="4" w:space="0" w:color="FF0000"/>
              <w:bottom w:val="single" w:sz="4" w:space="0" w:color="FF0000"/>
              <w:right w:val="single" w:sz="4" w:space="0" w:color="FF0000"/>
            </w:tcBorders>
            <w:shd w:val="clear" w:color="auto" w:fill="F0EBD3"/>
          </w:tcPr>
          <w:p w14:paraId="4153CC2D" w14:textId="77777777" w:rsidR="007C295F" w:rsidRPr="00EC2382" w:rsidRDefault="007C295F" w:rsidP="00476A59">
            <w:pPr>
              <w:pStyle w:val="AGENDA-body"/>
              <w:rPr>
                <w:rFonts w:asciiTheme="minorHAnsi" w:hAnsiTheme="minorHAnsi" w:cstheme="minorHAnsi"/>
              </w:rPr>
            </w:pPr>
            <w:r w:rsidRPr="00EC2382">
              <w:rPr>
                <w:rFonts w:asciiTheme="minorHAnsi" w:hAnsiTheme="minorHAnsi" w:cstheme="minorHAnsi"/>
              </w:rPr>
              <w:t>(24)</w:t>
            </w:r>
          </w:p>
        </w:tc>
        <w:tc>
          <w:tcPr>
            <w:tcW w:w="3420" w:type="dxa"/>
            <w:tcBorders>
              <w:top w:val="single" w:sz="4" w:space="0" w:color="FF0000"/>
              <w:left w:val="single" w:sz="4" w:space="0" w:color="FF0000"/>
              <w:bottom w:val="single" w:sz="4" w:space="0" w:color="FF0000"/>
              <w:right w:val="single" w:sz="4" w:space="0" w:color="FF0000"/>
            </w:tcBorders>
            <w:shd w:val="clear" w:color="auto" w:fill="FFF3D6"/>
          </w:tcPr>
          <w:p w14:paraId="46CCA6D9" w14:textId="77777777" w:rsidR="00EC2382" w:rsidRPr="00EC2382" w:rsidRDefault="007C295F" w:rsidP="00EC2382">
            <w:pPr>
              <w:pStyle w:val="AGENDA-body"/>
              <w:tabs>
                <w:tab w:val="clear" w:pos="5735"/>
                <w:tab w:val="clear" w:pos="7906"/>
                <w:tab w:val="clear" w:pos="10080"/>
              </w:tabs>
              <w:rPr>
                <w:rFonts w:asciiTheme="minorHAnsi" w:hAnsiTheme="minorHAnsi" w:cstheme="minorHAnsi"/>
                <w:spacing w:val="-7"/>
              </w:rPr>
            </w:pPr>
            <w:r w:rsidRPr="00EC2382">
              <w:rPr>
                <w:rFonts w:asciiTheme="minorHAnsi" w:hAnsiTheme="minorHAnsi" w:cstheme="minorHAnsi"/>
                <w:spacing w:val="-7"/>
              </w:rPr>
              <w:t>Alaris IUI connectors used to attach a pump channel to the PC unit (pump brain) or another channel can become dirty, cracked, or otherwise damaged, which can interrupt communication between the channel and the PC unit and cause errors or pump shutdown.</w:t>
            </w:r>
          </w:p>
        </w:tc>
        <w:tc>
          <w:tcPr>
            <w:tcW w:w="3870" w:type="dxa"/>
            <w:tcBorders>
              <w:top w:val="single" w:sz="4" w:space="0" w:color="FF0000"/>
              <w:left w:val="single" w:sz="4" w:space="0" w:color="FF0000"/>
              <w:bottom w:val="single" w:sz="4" w:space="0" w:color="FF0000"/>
              <w:right w:val="single" w:sz="4" w:space="0" w:color="FF0000"/>
            </w:tcBorders>
            <w:shd w:val="clear" w:color="auto" w:fill="F0EBD3"/>
          </w:tcPr>
          <w:p w14:paraId="3429BE21" w14:textId="77777777" w:rsidR="007C295F" w:rsidRDefault="007C295F" w:rsidP="00FC7ECB">
            <w:pPr>
              <w:pStyle w:val="AGENDA-body"/>
              <w:tabs>
                <w:tab w:val="clear" w:pos="5735"/>
                <w:tab w:val="clear" w:pos="7906"/>
                <w:tab w:val="clear" w:pos="10080"/>
              </w:tabs>
              <w:rPr>
                <w:rFonts w:asciiTheme="minorHAnsi" w:hAnsiTheme="minorHAnsi" w:cstheme="minorHAnsi"/>
                <w:spacing w:val="-7"/>
              </w:rPr>
            </w:pPr>
            <w:r w:rsidRPr="00EC2382">
              <w:rPr>
                <w:rFonts w:asciiTheme="minorHAnsi" w:hAnsiTheme="minorHAnsi" w:cstheme="minorHAnsi"/>
                <w:spacing w:val="-7"/>
              </w:rPr>
              <w:t xml:space="preserve">Cleaning instructions for the IUIs can be found at: </w:t>
            </w:r>
            <w:r w:rsidRPr="00EC2382">
              <w:rPr>
                <w:rFonts w:asciiTheme="minorHAnsi" w:hAnsiTheme="minorHAnsi" w:cstheme="minorHAnsi"/>
                <w:color w:val="0000FF"/>
                <w:spacing w:val="-7"/>
                <w:u w:val="single"/>
              </w:rPr>
              <w:t>www.ismp.org/sc?id= 3050</w:t>
            </w:r>
            <w:r w:rsidRPr="00EC2382">
              <w:rPr>
                <w:rFonts w:asciiTheme="minorHAnsi" w:hAnsiTheme="minorHAnsi" w:cstheme="minorHAnsi"/>
                <w:spacing w:val="-7"/>
              </w:rPr>
              <w:t xml:space="preserve">, and an inspection tip sheet is available at: </w:t>
            </w:r>
            <w:r w:rsidRPr="00EC2382">
              <w:rPr>
                <w:rFonts w:asciiTheme="minorHAnsi" w:hAnsiTheme="minorHAnsi" w:cstheme="minorHAnsi"/>
                <w:color w:val="0000FF"/>
                <w:u w:val="single"/>
              </w:rPr>
              <w:t>www.ismp.org/sc?id= 3049</w:t>
            </w:r>
            <w:r w:rsidRPr="00EC2382">
              <w:rPr>
                <w:rFonts w:asciiTheme="minorHAnsi" w:hAnsiTheme="minorHAnsi" w:cstheme="minorHAnsi"/>
              </w:rPr>
              <w:t xml:space="preserve">. </w:t>
            </w:r>
            <w:r w:rsidRPr="00EC2382">
              <w:rPr>
                <w:rFonts w:asciiTheme="minorHAnsi" w:hAnsiTheme="minorHAnsi" w:cstheme="minorHAnsi"/>
                <w:spacing w:val="-7"/>
              </w:rPr>
              <w:t xml:space="preserve">Any dropped or damaged instruments should be sent to the biomedical engineering department for repair. </w:t>
            </w:r>
          </w:p>
          <w:p w14:paraId="406FD606" w14:textId="77777777" w:rsidR="00EC2382" w:rsidRPr="00EC2382" w:rsidRDefault="00EC2382" w:rsidP="00FC7ECB">
            <w:pPr>
              <w:pStyle w:val="AGENDA-body"/>
              <w:tabs>
                <w:tab w:val="clear" w:pos="5735"/>
                <w:tab w:val="clear" w:pos="7906"/>
                <w:tab w:val="clear" w:pos="10080"/>
              </w:tabs>
              <w:rPr>
                <w:rFonts w:asciiTheme="minorHAnsi" w:hAnsiTheme="minorHAnsi" w:cstheme="minorHAnsi"/>
                <w:spacing w:val="-7"/>
              </w:rPr>
            </w:pPr>
          </w:p>
        </w:tc>
        <w:tc>
          <w:tcPr>
            <w:tcW w:w="2970" w:type="dxa"/>
            <w:tcBorders>
              <w:top w:val="single" w:sz="4" w:space="0" w:color="FF0000"/>
              <w:left w:val="single" w:sz="4" w:space="0" w:color="FF0000"/>
              <w:bottom w:val="single" w:sz="4" w:space="0" w:color="FF0000"/>
              <w:right w:val="single" w:sz="4" w:space="0" w:color="FF0000"/>
            </w:tcBorders>
          </w:tcPr>
          <w:p w14:paraId="1D727C73" w14:textId="77777777" w:rsidR="007C295F" w:rsidRPr="00EC2382" w:rsidRDefault="007C295F" w:rsidP="008C5601">
            <w:pPr>
              <w:pStyle w:val="AC-table-body"/>
              <w:tabs>
                <w:tab w:val="clear" w:pos="5735"/>
                <w:tab w:val="clear" w:pos="7906"/>
                <w:tab w:val="clear" w:pos="10080"/>
              </w:tabs>
              <w:rPr>
                <w:rFonts w:asciiTheme="minorHAnsi" w:hAnsiTheme="minorHAnsi" w:cstheme="minorHAnsi"/>
              </w:rPr>
            </w:pPr>
          </w:p>
        </w:tc>
        <w:tc>
          <w:tcPr>
            <w:tcW w:w="2610" w:type="dxa"/>
            <w:tcBorders>
              <w:top w:val="single" w:sz="4" w:space="0" w:color="FF0000"/>
              <w:left w:val="single" w:sz="4" w:space="0" w:color="FF0000"/>
              <w:bottom w:val="single" w:sz="4" w:space="0" w:color="FF0000"/>
              <w:right w:val="single" w:sz="4" w:space="0" w:color="FF0000"/>
            </w:tcBorders>
          </w:tcPr>
          <w:p w14:paraId="4C1CFA34" w14:textId="77777777" w:rsidR="007C295F" w:rsidRPr="00EC2382" w:rsidRDefault="007C295F" w:rsidP="008C5601">
            <w:pPr>
              <w:pStyle w:val="AC-table-body"/>
              <w:tabs>
                <w:tab w:val="clear" w:pos="5735"/>
                <w:tab w:val="clear" w:pos="7906"/>
                <w:tab w:val="clear" w:pos="10080"/>
              </w:tabs>
              <w:rPr>
                <w:rFonts w:asciiTheme="minorHAnsi" w:hAnsiTheme="minorHAnsi" w:cstheme="minorHAnsi"/>
              </w:rPr>
            </w:pPr>
          </w:p>
        </w:tc>
        <w:tc>
          <w:tcPr>
            <w:tcW w:w="1206" w:type="dxa"/>
            <w:tcBorders>
              <w:top w:val="single" w:sz="4" w:space="0" w:color="FF0000"/>
              <w:left w:val="single" w:sz="4" w:space="0" w:color="FF0000"/>
              <w:bottom w:val="single" w:sz="4" w:space="0" w:color="FF0000"/>
              <w:right w:val="single" w:sz="4" w:space="0" w:color="FF0000"/>
            </w:tcBorders>
          </w:tcPr>
          <w:p w14:paraId="0EB78019" w14:textId="77777777" w:rsidR="007C295F" w:rsidRPr="00EC2382" w:rsidRDefault="007C295F" w:rsidP="008C5601">
            <w:pPr>
              <w:pStyle w:val="AC-table-body"/>
              <w:tabs>
                <w:tab w:val="clear" w:pos="5735"/>
                <w:tab w:val="clear" w:pos="7906"/>
                <w:tab w:val="clear" w:pos="10080"/>
              </w:tabs>
              <w:rPr>
                <w:rFonts w:asciiTheme="minorHAnsi" w:hAnsiTheme="minorHAnsi" w:cstheme="minorHAnsi"/>
              </w:rPr>
            </w:pPr>
          </w:p>
        </w:tc>
      </w:tr>
      <w:tr w:rsidR="000B6E55" w:rsidRPr="00EC2382" w14:paraId="30E8CE99" w14:textId="77777777" w:rsidTr="008C5601">
        <w:trPr>
          <w:jc w:val="center"/>
        </w:trPr>
        <w:tc>
          <w:tcPr>
            <w:tcW w:w="14688" w:type="dxa"/>
            <w:gridSpan w:val="6"/>
            <w:tcBorders>
              <w:top w:val="single" w:sz="4" w:space="0" w:color="FF0000"/>
              <w:left w:val="single" w:sz="4" w:space="0" w:color="FF0000"/>
              <w:bottom w:val="single" w:sz="4" w:space="0" w:color="FF0000"/>
              <w:right w:val="single" w:sz="4" w:space="0" w:color="FF0000"/>
            </w:tcBorders>
            <w:shd w:val="clear" w:color="auto" w:fill="EACB8B"/>
          </w:tcPr>
          <w:p w14:paraId="6B6F8907" w14:textId="77777777" w:rsidR="000B6E55" w:rsidRPr="00EC2382" w:rsidRDefault="000B6E55" w:rsidP="00FC7ECB">
            <w:pPr>
              <w:pStyle w:val="AGENDA-table-titles"/>
              <w:tabs>
                <w:tab w:val="clear" w:pos="5735"/>
                <w:tab w:val="clear" w:pos="7906"/>
                <w:tab w:val="clear" w:pos="10080"/>
              </w:tabs>
              <w:rPr>
                <w:rFonts w:asciiTheme="minorHAnsi" w:hAnsiTheme="minorHAnsi" w:cstheme="minorHAnsi"/>
                <w:sz w:val="20"/>
              </w:rPr>
            </w:pPr>
            <w:r w:rsidRPr="00EC2382">
              <w:rPr>
                <w:rFonts w:asciiTheme="minorHAnsi" w:hAnsiTheme="minorHAnsi" w:cstheme="minorHAnsi"/>
                <w:sz w:val="20"/>
              </w:rPr>
              <w:lastRenderedPageBreak/>
              <w:t>Ensure all staff are using the drug library built into smart infusion pumps</w:t>
            </w:r>
          </w:p>
        </w:tc>
      </w:tr>
      <w:tr w:rsidR="000B6E55" w:rsidRPr="00EC2382" w14:paraId="79A8CEF5" w14:textId="77777777" w:rsidTr="00EE4F9F">
        <w:trPr>
          <w:jc w:val="center"/>
        </w:trPr>
        <w:tc>
          <w:tcPr>
            <w:tcW w:w="612" w:type="dxa"/>
            <w:tcBorders>
              <w:top w:val="single" w:sz="4" w:space="0" w:color="FF0000"/>
              <w:left w:val="single" w:sz="4" w:space="0" w:color="FF0000"/>
              <w:bottom w:val="single" w:sz="4" w:space="0" w:color="FF0000"/>
              <w:right w:val="single" w:sz="4" w:space="0" w:color="FF0000"/>
            </w:tcBorders>
            <w:shd w:val="clear" w:color="auto" w:fill="F0EBD3"/>
          </w:tcPr>
          <w:p w14:paraId="6E4AA390" w14:textId="77777777" w:rsidR="00474A5F" w:rsidRPr="00EC2382" w:rsidRDefault="00474A5F" w:rsidP="00474A5F">
            <w:pPr>
              <w:pStyle w:val="AGENDA-body"/>
              <w:rPr>
                <w:rFonts w:asciiTheme="minorHAnsi" w:hAnsiTheme="minorHAnsi" w:cstheme="minorHAnsi"/>
              </w:rPr>
            </w:pPr>
            <w:r w:rsidRPr="00EC2382">
              <w:rPr>
                <w:rFonts w:asciiTheme="minorHAnsi" w:hAnsiTheme="minorHAnsi" w:cstheme="minorHAnsi"/>
              </w:rPr>
              <w:t xml:space="preserve">(24) </w:t>
            </w:r>
          </w:p>
          <w:p w14:paraId="4071BF4D" w14:textId="77777777" w:rsidR="000B6E55" w:rsidRPr="00EC2382" w:rsidRDefault="00474A5F" w:rsidP="00474A5F">
            <w:pPr>
              <w:pStyle w:val="AGENDA-body"/>
              <w:tabs>
                <w:tab w:val="clear" w:pos="5735"/>
                <w:tab w:val="clear" w:pos="7906"/>
                <w:tab w:val="clear" w:pos="10080"/>
              </w:tabs>
              <w:rPr>
                <w:rFonts w:asciiTheme="minorHAnsi" w:hAnsiTheme="minorHAnsi" w:cstheme="minorHAnsi"/>
              </w:rPr>
            </w:pPr>
            <w:r w:rsidRPr="00EC2382">
              <w:rPr>
                <w:rFonts w:asciiTheme="minorHAnsi" w:hAnsiTheme="minorHAnsi" w:cstheme="minorHAnsi"/>
                <w:noProof/>
                <w:lang w:bidi="ar-SA"/>
              </w:rPr>
              <w:drawing>
                <wp:inline distT="0" distB="0" distL="0" distR="0" wp14:anchorId="1D108B7C" wp14:editId="1EC3E259">
                  <wp:extent cx="152387" cy="12191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 safety icon-alert.png"/>
                          <pic:cNvPicPr/>
                        </pic:nvPicPr>
                        <pic:blipFill>
                          <a:blip r:embed="rId10">
                            <a:extLst>
                              <a:ext uri="{28A0092B-C50C-407E-A947-70E740481C1C}">
                                <a14:useLocalDpi xmlns:a14="http://schemas.microsoft.com/office/drawing/2010/main" val="0"/>
                              </a:ext>
                            </a:extLst>
                          </a:blip>
                          <a:stretch>
                            <a:fillRect/>
                          </a:stretch>
                        </pic:blipFill>
                        <pic:spPr>
                          <a:xfrm>
                            <a:off x="0" y="0"/>
                            <a:ext cx="152387" cy="121910"/>
                          </a:xfrm>
                          <a:prstGeom prst="rect">
                            <a:avLst/>
                          </a:prstGeom>
                        </pic:spPr>
                      </pic:pic>
                    </a:graphicData>
                  </a:graphic>
                </wp:inline>
              </w:drawing>
            </w:r>
          </w:p>
        </w:tc>
        <w:tc>
          <w:tcPr>
            <w:tcW w:w="3420" w:type="dxa"/>
            <w:tcBorders>
              <w:top w:val="single" w:sz="4" w:space="0" w:color="FF0000"/>
              <w:left w:val="single" w:sz="4" w:space="0" w:color="FF0000"/>
              <w:bottom w:val="single" w:sz="4" w:space="0" w:color="FF0000"/>
              <w:right w:val="single" w:sz="4" w:space="0" w:color="FF0000"/>
            </w:tcBorders>
            <w:shd w:val="clear" w:color="auto" w:fill="FFF3D6"/>
          </w:tcPr>
          <w:p w14:paraId="66C4CDB4" w14:textId="77777777" w:rsidR="009249FE" w:rsidRPr="00EC2382" w:rsidRDefault="000B6E55" w:rsidP="00FC7ECB">
            <w:pPr>
              <w:pStyle w:val="AGENDA-body"/>
              <w:tabs>
                <w:tab w:val="clear" w:pos="5735"/>
                <w:tab w:val="clear" w:pos="7906"/>
                <w:tab w:val="clear" w:pos="10080"/>
              </w:tabs>
              <w:rPr>
                <w:rFonts w:asciiTheme="minorHAnsi" w:hAnsiTheme="minorHAnsi" w:cstheme="minorHAnsi"/>
                <w:spacing w:val="-8"/>
              </w:rPr>
            </w:pPr>
            <w:r w:rsidRPr="00EC2382">
              <w:rPr>
                <w:rFonts w:asciiTheme="minorHAnsi" w:hAnsiTheme="minorHAnsi" w:cstheme="minorHAnsi"/>
                <w:spacing w:val="-8"/>
              </w:rPr>
              <w:t>An anesthetist programmed a dexmed-etomidine infusion to deliver 0.15 mcg/kg/</w:t>
            </w:r>
            <w:r w:rsidRPr="00EC2382">
              <w:rPr>
                <w:rFonts w:asciiTheme="minorHAnsi" w:hAnsiTheme="minorHAnsi" w:cstheme="minorHAnsi"/>
                <w:spacing w:val="-8"/>
                <w:u w:val="single"/>
              </w:rPr>
              <w:t>minute</w:t>
            </w:r>
            <w:r w:rsidRPr="00EC2382">
              <w:rPr>
                <w:rFonts w:asciiTheme="minorHAnsi" w:hAnsiTheme="minorHAnsi" w:cstheme="minorHAnsi"/>
                <w:spacing w:val="-8"/>
              </w:rPr>
              <w:t xml:space="preserve"> instead of mcg/kg/</w:t>
            </w:r>
            <w:r w:rsidRPr="00EC2382">
              <w:rPr>
                <w:rFonts w:asciiTheme="minorHAnsi" w:hAnsiTheme="minorHAnsi" w:cstheme="minorHAnsi"/>
                <w:spacing w:val="-8"/>
                <w:u w:val="single"/>
              </w:rPr>
              <w:t>hour</w:t>
            </w:r>
            <w:r w:rsidRPr="00EC2382">
              <w:rPr>
                <w:rFonts w:asciiTheme="minorHAnsi" w:hAnsiTheme="minorHAnsi" w:cstheme="minorHAnsi"/>
                <w:spacing w:val="-8"/>
              </w:rPr>
              <w:t xml:space="preserve">. Using a CareFusion Alaris smart pump, she selected “Guardrails Drugs” to program the infusion, but then chose the “DRUG CALC” function and entered the infusion rate instead of selecting the drug from the library. The pump did not indicate that the dose error reduction software (DERS) had not been activated.  </w:t>
            </w:r>
          </w:p>
        </w:tc>
        <w:tc>
          <w:tcPr>
            <w:tcW w:w="3870" w:type="dxa"/>
            <w:tcBorders>
              <w:top w:val="single" w:sz="4" w:space="0" w:color="FF0000"/>
              <w:left w:val="single" w:sz="4" w:space="0" w:color="FF0000"/>
              <w:bottom w:val="single" w:sz="4" w:space="0" w:color="FF0000"/>
              <w:right w:val="single" w:sz="4" w:space="0" w:color="FF0000"/>
            </w:tcBorders>
            <w:shd w:val="clear" w:color="auto" w:fill="F0EBD3"/>
          </w:tcPr>
          <w:p w14:paraId="27145F57" w14:textId="77777777" w:rsidR="000B6E55" w:rsidRPr="00EC2382" w:rsidRDefault="000B6E55" w:rsidP="00FC7ECB">
            <w:pPr>
              <w:pStyle w:val="AGENDA-body"/>
              <w:tabs>
                <w:tab w:val="clear" w:pos="5735"/>
                <w:tab w:val="clear" w:pos="7906"/>
                <w:tab w:val="clear" w:pos="10080"/>
              </w:tabs>
              <w:rPr>
                <w:rFonts w:asciiTheme="minorHAnsi" w:hAnsiTheme="minorHAnsi" w:cstheme="minorHAnsi"/>
                <w:spacing w:val="-7"/>
              </w:rPr>
            </w:pPr>
            <w:r w:rsidRPr="00EC2382">
              <w:rPr>
                <w:rFonts w:asciiTheme="minorHAnsi" w:hAnsiTheme="minorHAnsi" w:cstheme="minorHAnsi"/>
                <w:spacing w:val="-7"/>
              </w:rPr>
              <w:t xml:space="preserve">Educate smart pump users (including anesthesiologists and anesthetists) about proper programming and how to engage the drug library. Confirm staff understanding via annual competencies and monitor compliance with the drug library. Consider requiring an independent double check of high-alert medication infusions that require manual entry of custom concentrations (e.g., investigational drugs). </w:t>
            </w:r>
          </w:p>
        </w:tc>
        <w:tc>
          <w:tcPr>
            <w:tcW w:w="2970" w:type="dxa"/>
            <w:tcBorders>
              <w:top w:val="single" w:sz="4" w:space="0" w:color="FF0000"/>
              <w:left w:val="single" w:sz="4" w:space="0" w:color="FF0000"/>
              <w:bottom w:val="single" w:sz="4" w:space="0" w:color="FF0000"/>
              <w:right w:val="single" w:sz="4" w:space="0" w:color="FF0000"/>
            </w:tcBorders>
          </w:tcPr>
          <w:p w14:paraId="539A4420" w14:textId="77777777" w:rsidR="000B6E55" w:rsidRPr="00EC2382" w:rsidRDefault="000B6E55" w:rsidP="008C5601">
            <w:pPr>
              <w:pStyle w:val="AC-table-body"/>
              <w:tabs>
                <w:tab w:val="clear" w:pos="5735"/>
                <w:tab w:val="clear" w:pos="7906"/>
                <w:tab w:val="clear" w:pos="10080"/>
              </w:tabs>
              <w:rPr>
                <w:rFonts w:asciiTheme="minorHAnsi" w:hAnsiTheme="minorHAnsi" w:cstheme="minorHAnsi"/>
              </w:rPr>
            </w:pPr>
          </w:p>
        </w:tc>
        <w:tc>
          <w:tcPr>
            <w:tcW w:w="2610" w:type="dxa"/>
            <w:tcBorders>
              <w:top w:val="single" w:sz="4" w:space="0" w:color="FF0000"/>
              <w:left w:val="single" w:sz="4" w:space="0" w:color="FF0000"/>
              <w:bottom w:val="single" w:sz="4" w:space="0" w:color="FF0000"/>
              <w:right w:val="single" w:sz="4" w:space="0" w:color="FF0000"/>
            </w:tcBorders>
          </w:tcPr>
          <w:p w14:paraId="60347051" w14:textId="77777777" w:rsidR="000B6E55" w:rsidRPr="00EC2382" w:rsidRDefault="000B6E55" w:rsidP="008C5601">
            <w:pPr>
              <w:pStyle w:val="AC-table-body"/>
              <w:tabs>
                <w:tab w:val="clear" w:pos="5735"/>
                <w:tab w:val="clear" w:pos="7906"/>
                <w:tab w:val="clear" w:pos="10080"/>
              </w:tabs>
              <w:rPr>
                <w:rFonts w:asciiTheme="minorHAnsi" w:hAnsiTheme="minorHAnsi" w:cstheme="minorHAnsi"/>
              </w:rPr>
            </w:pPr>
          </w:p>
        </w:tc>
        <w:tc>
          <w:tcPr>
            <w:tcW w:w="1206" w:type="dxa"/>
            <w:tcBorders>
              <w:top w:val="single" w:sz="4" w:space="0" w:color="FF0000"/>
              <w:left w:val="single" w:sz="4" w:space="0" w:color="FF0000"/>
              <w:bottom w:val="single" w:sz="4" w:space="0" w:color="FF0000"/>
              <w:right w:val="single" w:sz="4" w:space="0" w:color="FF0000"/>
            </w:tcBorders>
          </w:tcPr>
          <w:p w14:paraId="56C5B475" w14:textId="77777777" w:rsidR="000B6E55" w:rsidRPr="00EC2382" w:rsidRDefault="000B6E55" w:rsidP="008C5601">
            <w:pPr>
              <w:pStyle w:val="AC-table-body"/>
              <w:tabs>
                <w:tab w:val="clear" w:pos="5735"/>
                <w:tab w:val="clear" w:pos="7906"/>
                <w:tab w:val="clear" w:pos="10080"/>
              </w:tabs>
              <w:rPr>
                <w:rFonts w:asciiTheme="minorHAnsi" w:hAnsiTheme="minorHAnsi" w:cstheme="minorHAnsi"/>
              </w:rPr>
            </w:pPr>
          </w:p>
        </w:tc>
      </w:tr>
      <w:tr w:rsidR="00706174" w:rsidRPr="00EC2382" w14:paraId="3310D178" w14:textId="77777777" w:rsidTr="008C5601">
        <w:trPr>
          <w:jc w:val="center"/>
        </w:trPr>
        <w:tc>
          <w:tcPr>
            <w:tcW w:w="14688" w:type="dxa"/>
            <w:gridSpan w:val="6"/>
            <w:tcBorders>
              <w:top w:val="single" w:sz="4" w:space="0" w:color="FF0000"/>
              <w:left w:val="single" w:sz="4" w:space="0" w:color="FF0000"/>
              <w:bottom w:val="single" w:sz="4" w:space="0" w:color="FF0000"/>
              <w:right w:val="single" w:sz="4" w:space="0" w:color="FF0000"/>
            </w:tcBorders>
            <w:shd w:val="clear" w:color="auto" w:fill="EACB8B"/>
          </w:tcPr>
          <w:p w14:paraId="5C1880C4" w14:textId="77777777" w:rsidR="00706174" w:rsidRPr="00EC2382" w:rsidRDefault="00706174" w:rsidP="00FC7ECB">
            <w:pPr>
              <w:pStyle w:val="AGENDA-table-titles"/>
              <w:tabs>
                <w:tab w:val="clear" w:pos="5735"/>
                <w:tab w:val="clear" w:pos="7906"/>
                <w:tab w:val="clear" w:pos="10080"/>
              </w:tabs>
              <w:rPr>
                <w:rFonts w:asciiTheme="minorHAnsi" w:hAnsiTheme="minorHAnsi" w:cstheme="minorHAnsi"/>
                <w:sz w:val="20"/>
              </w:rPr>
            </w:pPr>
            <w:r w:rsidRPr="00EC2382">
              <w:rPr>
                <w:rFonts w:asciiTheme="minorHAnsi" w:hAnsiTheme="minorHAnsi" w:cstheme="minorHAnsi"/>
                <w:sz w:val="20"/>
              </w:rPr>
              <w:t>Errors related to horizontal barcodes on curved surfaces and multiple barcodes on packages</w:t>
            </w:r>
          </w:p>
        </w:tc>
      </w:tr>
      <w:tr w:rsidR="00706174" w:rsidRPr="00EC2382" w14:paraId="6511BD2C" w14:textId="77777777" w:rsidTr="00EE4F9F">
        <w:trPr>
          <w:jc w:val="center"/>
        </w:trPr>
        <w:tc>
          <w:tcPr>
            <w:tcW w:w="612" w:type="dxa"/>
            <w:tcBorders>
              <w:top w:val="single" w:sz="4" w:space="0" w:color="FF0000"/>
              <w:left w:val="single" w:sz="4" w:space="0" w:color="FF0000"/>
              <w:bottom w:val="single" w:sz="4" w:space="0" w:color="FF0000"/>
              <w:right w:val="single" w:sz="4" w:space="0" w:color="FF0000"/>
            </w:tcBorders>
            <w:shd w:val="clear" w:color="auto" w:fill="F0EBD3"/>
          </w:tcPr>
          <w:p w14:paraId="2740C282" w14:textId="77777777" w:rsidR="00706174" w:rsidRPr="00EC2382" w:rsidRDefault="00706174" w:rsidP="00FC7ECB">
            <w:pPr>
              <w:pStyle w:val="AGENDA-body"/>
              <w:tabs>
                <w:tab w:val="clear" w:pos="5735"/>
                <w:tab w:val="clear" w:pos="7906"/>
                <w:tab w:val="clear" w:pos="10080"/>
              </w:tabs>
              <w:rPr>
                <w:rFonts w:asciiTheme="minorHAnsi" w:hAnsiTheme="minorHAnsi" w:cstheme="minorHAnsi"/>
              </w:rPr>
            </w:pPr>
            <w:r w:rsidRPr="00EC2382">
              <w:rPr>
                <w:rFonts w:asciiTheme="minorHAnsi" w:hAnsiTheme="minorHAnsi" w:cstheme="minorHAnsi"/>
              </w:rPr>
              <w:t>(21, 22)</w:t>
            </w:r>
          </w:p>
        </w:tc>
        <w:tc>
          <w:tcPr>
            <w:tcW w:w="3420" w:type="dxa"/>
            <w:tcBorders>
              <w:top w:val="single" w:sz="4" w:space="0" w:color="FF0000"/>
              <w:left w:val="single" w:sz="4" w:space="0" w:color="FF0000"/>
              <w:bottom w:val="single" w:sz="4" w:space="0" w:color="FF0000"/>
              <w:right w:val="single" w:sz="4" w:space="0" w:color="FF0000"/>
            </w:tcBorders>
            <w:shd w:val="clear" w:color="auto" w:fill="FFF3D6"/>
          </w:tcPr>
          <w:p w14:paraId="7A72CDDD" w14:textId="77777777" w:rsidR="00706174" w:rsidRPr="00EC2382" w:rsidRDefault="00706174" w:rsidP="00FC7ECB">
            <w:pPr>
              <w:pStyle w:val="AGENDA-body"/>
              <w:tabs>
                <w:tab w:val="clear" w:pos="5735"/>
                <w:tab w:val="clear" w:pos="7906"/>
                <w:tab w:val="clear" w:pos="10080"/>
              </w:tabs>
              <w:rPr>
                <w:rFonts w:asciiTheme="minorHAnsi" w:hAnsiTheme="minorHAnsi" w:cstheme="minorHAnsi"/>
                <w:spacing w:val="-8"/>
              </w:rPr>
            </w:pPr>
            <w:r w:rsidRPr="00EC2382">
              <w:rPr>
                <w:rFonts w:asciiTheme="minorHAnsi" w:hAnsiTheme="minorHAnsi" w:cstheme="minorHAnsi"/>
                <w:spacing w:val="-8"/>
              </w:rPr>
              <w:t xml:space="preserve">Pharmaceutical products are required to have a linear barcode, but pursuant to the Drug Supply Chain Security Act (DSCSA), many manufacturers are also including a 2-dimensional (2D) data matrix barcode. The presence of both linear and 2D data matrix barcodes can lead to confusion regarding which to scan, and the horizontal repositioning of linear barcodes around curved surfaces renders them unreadable. </w:t>
            </w:r>
          </w:p>
          <w:p w14:paraId="215092EB" w14:textId="77777777" w:rsidR="009249FE" w:rsidRPr="00EC2382" w:rsidRDefault="009249FE" w:rsidP="00FC7ECB">
            <w:pPr>
              <w:pStyle w:val="AGENDA-body"/>
              <w:tabs>
                <w:tab w:val="clear" w:pos="5735"/>
                <w:tab w:val="clear" w:pos="7906"/>
                <w:tab w:val="clear" w:pos="10080"/>
              </w:tabs>
              <w:rPr>
                <w:rFonts w:asciiTheme="minorHAnsi" w:hAnsiTheme="minorHAnsi" w:cstheme="minorHAnsi"/>
                <w:spacing w:val="-8"/>
              </w:rPr>
            </w:pPr>
          </w:p>
        </w:tc>
        <w:tc>
          <w:tcPr>
            <w:tcW w:w="3870" w:type="dxa"/>
            <w:tcBorders>
              <w:top w:val="single" w:sz="4" w:space="0" w:color="FF0000"/>
              <w:left w:val="single" w:sz="4" w:space="0" w:color="FF0000"/>
              <w:bottom w:val="single" w:sz="4" w:space="0" w:color="FF0000"/>
              <w:right w:val="single" w:sz="4" w:space="0" w:color="FF0000"/>
            </w:tcBorders>
            <w:shd w:val="clear" w:color="auto" w:fill="F0EBD3"/>
          </w:tcPr>
          <w:p w14:paraId="2B21101F" w14:textId="77777777" w:rsidR="00706174" w:rsidRPr="00EC2382" w:rsidRDefault="00706174" w:rsidP="00FC7ECB">
            <w:pPr>
              <w:pStyle w:val="AGENDA-body"/>
              <w:tabs>
                <w:tab w:val="clear" w:pos="5735"/>
                <w:tab w:val="clear" w:pos="7906"/>
                <w:tab w:val="clear" w:pos="10080"/>
              </w:tabs>
              <w:rPr>
                <w:rFonts w:asciiTheme="minorHAnsi" w:hAnsiTheme="minorHAnsi" w:cstheme="minorHAnsi"/>
                <w:spacing w:val="-8"/>
              </w:rPr>
            </w:pPr>
            <w:r w:rsidRPr="00EC2382">
              <w:rPr>
                <w:rFonts w:asciiTheme="minorHAnsi" w:hAnsiTheme="minorHAnsi" w:cstheme="minorHAnsi"/>
                <w:spacing w:val="-8"/>
              </w:rPr>
              <w:t xml:space="preserve">Alert staff to the new DSCSA requirement to include a 2D data matrix barcode on certain product labels, and advise them which barcode to scan. Establish a process for incorporating new barcodes into the information technology database and linking them to the correct products. For a resource on managing the challenges associated with barcode verification systems, visit: </w:t>
            </w:r>
            <w:r w:rsidRPr="00EC2382">
              <w:rPr>
                <w:rFonts w:asciiTheme="minorHAnsi" w:hAnsiTheme="minorHAnsi" w:cstheme="minorHAnsi"/>
                <w:color w:val="0000FF"/>
                <w:spacing w:val="-8"/>
                <w:u w:val="single"/>
              </w:rPr>
              <w:t>www.bcmaresources.com/</w:t>
            </w:r>
            <w:r w:rsidRPr="00EC2382">
              <w:rPr>
                <w:rFonts w:asciiTheme="minorHAnsi" w:hAnsiTheme="minorHAnsi" w:cstheme="minorHAnsi"/>
                <w:spacing w:val="-8"/>
              </w:rPr>
              <w:t>.</w:t>
            </w:r>
          </w:p>
        </w:tc>
        <w:tc>
          <w:tcPr>
            <w:tcW w:w="2970" w:type="dxa"/>
            <w:tcBorders>
              <w:top w:val="single" w:sz="4" w:space="0" w:color="FF0000"/>
              <w:left w:val="single" w:sz="4" w:space="0" w:color="FF0000"/>
              <w:bottom w:val="single" w:sz="4" w:space="0" w:color="FF0000"/>
              <w:right w:val="single" w:sz="4" w:space="0" w:color="FF0000"/>
            </w:tcBorders>
          </w:tcPr>
          <w:p w14:paraId="2E744B6E" w14:textId="77777777" w:rsidR="00706174" w:rsidRPr="00EC2382" w:rsidRDefault="00706174" w:rsidP="008C5601">
            <w:pPr>
              <w:pStyle w:val="AC-table-body"/>
              <w:tabs>
                <w:tab w:val="clear" w:pos="5735"/>
                <w:tab w:val="clear" w:pos="7906"/>
                <w:tab w:val="clear" w:pos="10080"/>
              </w:tabs>
              <w:rPr>
                <w:rFonts w:asciiTheme="minorHAnsi" w:hAnsiTheme="minorHAnsi" w:cstheme="minorHAnsi"/>
              </w:rPr>
            </w:pPr>
          </w:p>
        </w:tc>
        <w:tc>
          <w:tcPr>
            <w:tcW w:w="2610" w:type="dxa"/>
            <w:tcBorders>
              <w:top w:val="single" w:sz="4" w:space="0" w:color="FF0000"/>
              <w:left w:val="single" w:sz="4" w:space="0" w:color="FF0000"/>
              <w:bottom w:val="single" w:sz="4" w:space="0" w:color="FF0000"/>
              <w:right w:val="single" w:sz="4" w:space="0" w:color="FF0000"/>
            </w:tcBorders>
          </w:tcPr>
          <w:p w14:paraId="3E7E9074" w14:textId="77777777" w:rsidR="00706174" w:rsidRPr="00EC2382" w:rsidRDefault="00706174" w:rsidP="008C5601">
            <w:pPr>
              <w:pStyle w:val="AC-table-body"/>
              <w:tabs>
                <w:tab w:val="clear" w:pos="5735"/>
                <w:tab w:val="clear" w:pos="7906"/>
                <w:tab w:val="clear" w:pos="10080"/>
              </w:tabs>
              <w:rPr>
                <w:rFonts w:asciiTheme="minorHAnsi" w:hAnsiTheme="minorHAnsi" w:cstheme="minorHAnsi"/>
              </w:rPr>
            </w:pPr>
          </w:p>
        </w:tc>
        <w:tc>
          <w:tcPr>
            <w:tcW w:w="1206" w:type="dxa"/>
            <w:tcBorders>
              <w:top w:val="single" w:sz="4" w:space="0" w:color="FF0000"/>
              <w:left w:val="single" w:sz="4" w:space="0" w:color="FF0000"/>
              <w:bottom w:val="single" w:sz="4" w:space="0" w:color="FF0000"/>
              <w:right w:val="single" w:sz="4" w:space="0" w:color="FF0000"/>
            </w:tcBorders>
          </w:tcPr>
          <w:p w14:paraId="187895A6" w14:textId="77777777" w:rsidR="00706174" w:rsidRPr="00EC2382" w:rsidRDefault="00706174" w:rsidP="008C5601">
            <w:pPr>
              <w:pStyle w:val="AC-table-body"/>
              <w:tabs>
                <w:tab w:val="clear" w:pos="5735"/>
                <w:tab w:val="clear" w:pos="7906"/>
                <w:tab w:val="clear" w:pos="10080"/>
              </w:tabs>
              <w:rPr>
                <w:rFonts w:asciiTheme="minorHAnsi" w:hAnsiTheme="minorHAnsi" w:cstheme="minorHAnsi"/>
              </w:rPr>
            </w:pPr>
          </w:p>
        </w:tc>
      </w:tr>
      <w:tr w:rsidR="00706174" w:rsidRPr="00EC2382" w14:paraId="4B3979A9" w14:textId="77777777" w:rsidTr="008C5601">
        <w:trPr>
          <w:jc w:val="center"/>
        </w:trPr>
        <w:tc>
          <w:tcPr>
            <w:tcW w:w="14688" w:type="dxa"/>
            <w:gridSpan w:val="6"/>
            <w:tcBorders>
              <w:top w:val="single" w:sz="4" w:space="0" w:color="FF0000"/>
              <w:left w:val="single" w:sz="4" w:space="0" w:color="FF0000"/>
              <w:bottom w:val="single" w:sz="4" w:space="0" w:color="FF0000"/>
              <w:right w:val="single" w:sz="4" w:space="0" w:color="FF0000"/>
            </w:tcBorders>
            <w:shd w:val="clear" w:color="auto" w:fill="EACB8B"/>
          </w:tcPr>
          <w:p w14:paraId="74931FD7" w14:textId="77777777" w:rsidR="00706174" w:rsidRPr="00EC2382" w:rsidRDefault="00706174" w:rsidP="00FC7ECB">
            <w:pPr>
              <w:pStyle w:val="AGENDA-table-titles"/>
              <w:tabs>
                <w:tab w:val="clear" w:pos="5735"/>
                <w:tab w:val="clear" w:pos="7906"/>
                <w:tab w:val="clear" w:pos="10080"/>
              </w:tabs>
              <w:rPr>
                <w:rFonts w:asciiTheme="minorHAnsi" w:hAnsiTheme="minorHAnsi" w:cstheme="minorHAnsi"/>
                <w:sz w:val="20"/>
              </w:rPr>
            </w:pPr>
            <w:r w:rsidRPr="00EC2382">
              <w:rPr>
                <w:rFonts w:asciiTheme="minorHAnsi" w:hAnsiTheme="minorHAnsi" w:cstheme="minorHAnsi"/>
                <w:sz w:val="20"/>
              </w:rPr>
              <w:t>Mix-up between protein C concentrate, human (CEPROTIN) and prothrombin complex concentrate, human (KCENTRA)</w:t>
            </w:r>
          </w:p>
        </w:tc>
      </w:tr>
      <w:tr w:rsidR="005867BF" w:rsidRPr="00EC2382" w14:paraId="5FC6E68D" w14:textId="77777777" w:rsidTr="00EE4F9F">
        <w:trPr>
          <w:jc w:val="center"/>
        </w:trPr>
        <w:tc>
          <w:tcPr>
            <w:tcW w:w="612" w:type="dxa"/>
            <w:tcBorders>
              <w:top w:val="single" w:sz="4" w:space="0" w:color="FF0000"/>
              <w:left w:val="single" w:sz="4" w:space="0" w:color="FF0000"/>
              <w:bottom w:val="single" w:sz="4" w:space="0" w:color="FF0000"/>
              <w:right w:val="single" w:sz="4" w:space="0" w:color="FF0000"/>
            </w:tcBorders>
            <w:shd w:val="clear" w:color="auto" w:fill="F0EBD3"/>
          </w:tcPr>
          <w:p w14:paraId="76FD1A4A" w14:textId="77777777" w:rsidR="005867BF" w:rsidRPr="00EC2382" w:rsidRDefault="005867BF" w:rsidP="00474A5F">
            <w:pPr>
              <w:pStyle w:val="AGENDA-body"/>
              <w:rPr>
                <w:rFonts w:asciiTheme="minorHAnsi" w:hAnsiTheme="minorHAnsi" w:cstheme="minorHAnsi"/>
              </w:rPr>
            </w:pPr>
            <w:r w:rsidRPr="00EC2382">
              <w:rPr>
                <w:rFonts w:asciiTheme="minorHAnsi" w:hAnsiTheme="minorHAnsi" w:cstheme="minorHAnsi"/>
              </w:rPr>
              <w:t>(22)</w:t>
            </w:r>
          </w:p>
        </w:tc>
        <w:tc>
          <w:tcPr>
            <w:tcW w:w="3420" w:type="dxa"/>
            <w:tcBorders>
              <w:top w:val="single" w:sz="4" w:space="0" w:color="FF0000"/>
              <w:left w:val="single" w:sz="4" w:space="0" w:color="FF0000"/>
              <w:bottom w:val="single" w:sz="4" w:space="0" w:color="FF0000"/>
              <w:right w:val="single" w:sz="4" w:space="0" w:color="FF0000"/>
            </w:tcBorders>
            <w:shd w:val="clear" w:color="auto" w:fill="FFF3D6"/>
          </w:tcPr>
          <w:p w14:paraId="66E6772D" w14:textId="77777777" w:rsidR="005867BF" w:rsidRPr="00EC2382" w:rsidRDefault="005867BF" w:rsidP="00FC7ECB">
            <w:pPr>
              <w:pStyle w:val="AGENDA-body"/>
              <w:tabs>
                <w:tab w:val="clear" w:pos="5735"/>
                <w:tab w:val="clear" w:pos="7906"/>
                <w:tab w:val="clear" w:pos="10080"/>
              </w:tabs>
              <w:rPr>
                <w:rFonts w:asciiTheme="minorHAnsi" w:hAnsiTheme="minorHAnsi" w:cstheme="minorHAnsi"/>
                <w:spacing w:val="-9"/>
              </w:rPr>
            </w:pPr>
            <w:r w:rsidRPr="00EC2382">
              <w:rPr>
                <w:rFonts w:asciiTheme="minorHAnsi" w:hAnsiTheme="minorHAnsi" w:cstheme="minorHAnsi"/>
                <w:spacing w:val="-9"/>
              </w:rPr>
              <w:t>A patient received prothrombin com-plex concentrate, which stops bleeding, instead of protein C concentrate, which assists with anticoagulation. The physician thought PCC was an abbreviation for protein C concentrate, not prothrombin complex concentrate.</w:t>
            </w:r>
          </w:p>
          <w:p w14:paraId="3276E193" w14:textId="77777777" w:rsidR="009249FE" w:rsidRPr="00EC2382" w:rsidRDefault="009249FE" w:rsidP="00FC7ECB">
            <w:pPr>
              <w:pStyle w:val="AGENDA-body"/>
              <w:tabs>
                <w:tab w:val="clear" w:pos="5735"/>
                <w:tab w:val="clear" w:pos="7906"/>
                <w:tab w:val="clear" w:pos="10080"/>
              </w:tabs>
              <w:rPr>
                <w:rFonts w:asciiTheme="minorHAnsi" w:hAnsiTheme="minorHAnsi" w:cstheme="minorHAnsi"/>
                <w:spacing w:val="-9"/>
              </w:rPr>
            </w:pPr>
          </w:p>
        </w:tc>
        <w:tc>
          <w:tcPr>
            <w:tcW w:w="3870" w:type="dxa"/>
            <w:tcBorders>
              <w:top w:val="single" w:sz="4" w:space="0" w:color="FF0000"/>
              <w:left w:val="single" w:sz="4" w:space="0" w:color="FF0000"/>
              <w:bottom w:val="single" w:sz="4" w:space="0" w:color="FF0000"/>
              <w:right w:val="single" w:sz="4" w:space="0" w:color="FF0000"/>
            </w:tcBorders>
            <w:shd w:val="clear" w:color="auto" w:fill="F0EBD3"/>
          </w:tcPr>
          <w:p w14:paraId="15B89148" w14:textId="77777777" w:rsidR="005867BF" w:rsidRPr="00EC2382" w:rsidRDefault="005867BF" w:rsidP="00FC7ECB">
            <w:pPr>
              <w:pStyle w:val="AGENDA-body"/>
              <w:tabs>
                <w:tab w:val="clear" w:pos="5735"/>
                <w:tab w:val="clear" w:pos="7906"/>
                <w:tab w:val="clear" w:pos="10080"/>
              </w:tabs>
              <w:rPr>
                <w:rFonts w:asciiTheme="minorHAnsi" w:hAnsiTheme="minorHAnsi" w:cstheme="minorHAnsi"/>
              </w:rPr>
            </w:pPr>
            <w:r w:rsidRPr="00EC2382">
              <w:rPr>
                <w:rFonts w:asciiTheme="minorHAnsi" w:hAnsiTheme="minorHAnsi" w:cstheme="minorHAnsi"/>
              </w:rPr>
              <w:t xml:space="preserve">Avoid the use of abbreviations for drugs, including PCC. Instead, include the full name of the products, protein C concentrate, or Ceprotin, and prothrombin complex concentrate, or Kcentra.   </w:t>
            </w:r>
          </w:p>
        </w:tc>
        <w:tc>
          <w:tcPr>
            <w:tcW w:w="2970" w:type="dxa"/>
            <w:tcBorders>
              <w:top w:val="single" w:sz="4" w:space="0" w:color="FF0000"/>
              <w:left w:val="single" w:sz="4" w:space="0" w:color="FF0000"/>
              <w:bottom w:val="single" w:sz="4" w:space="0" w:color="FF0000"/>
              <w:right w:val="single" w:sz="4" w:space="0" w:color="FF0000"/>
            </w:tcBorders>
          </w:tcPr>
          <w:p w14:paraId="64AA3891" w14:textId="77777777" w:rsidR="005867BF" w:rsidRPr="00EC2382" w:rsidRDefault="005867BF" w:rsidP="008C5601">
            <w:pPr>
              <w:pStyle w:val="AC-table-body"/>
              <w:tabs>
                <w:tab w:val="clear" w:pos="5735"/>
                <w:tab w:val="clear" w:pos="7906"/>
                <w:tab w:val="clear" w:pos="10080"/>
              </w:tabs>
              <w:rPr>
                <w:rFonts w:asciiTheme="minorHAnsi" w:hAnsiTheme="minorHAnsi" w:cstheme="minorHAnsi"/>
              </w:rPr>
            </w:pPr>
          </w:p>
        </w:tc>
        <w:tc>
          <w:tcPr>
            <w:tcW w:w="2610" w:type="dxa"/>
            <w:tcBorders>
              <w:top w:val="single" w:sz="4" w:space="0" w:color="FF0000"/>
              <w:left w:val="single" w:sz="4" w:space="0" w:color="FF0000"/>
              <w:bottom w:val="single" w:sz="4" w:space="0" w:color="FF0000"/>
              <w:right w:val="single" w:sz="4" w:space="0" w:color="FF0000"/>
            </w:tcBorders>
          </w:tcPr>
          <w:p w14:paraId="71490277" w14:textId="77777777" w:rsidR="005867BF" w:rsidRPr="00EC2382" w:rsidRDefault="005867BF" w:rsidP="008C5601">
            <w:pPr>
              <w:pStyle w:val="AC-table-body"/>
              <w:tabs>
                <w:tab w:val="clear" w:pos="5735"/>
                <w:tab w:val="clear" w:pos="7906"/>
                <w:tab w:val="clear" w:pos="10080"/>
              </w:tabs>
              <w:rPr>
                <w:rFonts w:asciiTheme="minorHAnsi" w:hAnsiTheme="minorHAnsi" w:cstheme="minorHAnsi"/>
              </w:rPr>
            </w:pPr>
          </w:p>
        </w:tc>
        <w:tc>
          <w:tcPr>
            <w:tcW w:w="1206" w:type="dxa"/>
            <w:tcBorders>
              <w:top w:val="single" w:sz="4" w:space="0" w:color="FF0000"/>
              <w:left w:val="single" w:sz="4" w:space="0" w:color="FF0000"/>
              <w:bottom w:val="single" w:sz="4" w:space="0" w:color="FF0000"/>
              <w:right w:val="single" w:sz="4" w:space="0" w:color="FF0000"/>
            </w:tcBorders>
          </w:tcPr>
          <w:p w14:paraId="18F08FBC" w14:textId="77777777" w:rsidR="005867BF" w:rsidRPr="00EC2382" w:rsidRDefault="005867BF" w:rsidP="008C5601">
            <w:pPr>
              <w:pStyle w:val="AC-table-body"/>
              <w:tabs>
                <w:tab w:val="clear" w:pos="5735"/>
                <w:tab w:val="clear" w:pos="7906"/>
                <w:tab w:val="clear" w:pos="10080"/>
              </w:tabs>
              <w:rPr>
                <w:rFonts w:asciiTheme="minorHAnsi" w:hAnsiTheme="minorHAnsi" w:cstheme="minorHAnsi"/>
              </w:rPr>
            </w:pPr>
          </w:p>
        </w:tc>
      </w:tr>
      <w:tr w:rsidR="007E6149" w:rsidRPr="00EC2382" w14:paraId="2AE36B79" w14:textId="77777777" w:rsidTr="008C5601">
        <w:trPr>
          <w:jc w:val="center"/>
        </w:trPr>
        <w:tc>
          <w:tcPr>
            <w:tcW w:w="14688" w:type="dxa"/>
            <w:gridSpan w:val="6"/>
            <w:tcBorders>
              <w:top w:val="single" w:sz="4" w:space="0" w:color="FF0000"/>
              <w:left w:val="single" w:sz="4" w:space="0" w:color="FF0000"/>
              <w:bottom w:val="single" w:sz="4" w:space="0" w:color="FF0000"/>
              <w:right w:val="single" w:sz="4" w:space="0" w:color="FF0000"/>
            </w:tcBorders>
            <w:shd w:val="clear" w:color="auto" w:fill="EACB8B"/>
          </w:tcPr>
          <w:p w14:paraId="6C87A575" w14:textId="77777777" w:rsidR="007E6149" w:rsidRPr="00EC2382" w:rsidRDefault="007E6149" w:rsidP="00FC7ECB">
            <w:pPr>
              <w:pStyle w:val="AGENDA-table-titles"/>
              <w:tabs>
                <w:tab w:val="clear" w:pos="5735"/>
                <w:tab w:val="clear" w:pos="7906"/>
                <w:tab w:val="clear" w:pos="10080"/>
              </w:tabs>
              <w:rPr>
                <w:rFonts w:asciiTheme="minorHAnsi" w:hAnsiTheme="minorHAnsi" w:cstheme="minorHAnsi"/>
                <w:sz w:val="20"/>
              </w:rPr>
            </w:pPr>
            <w:r w:rsidRPr="00EC2382">
              <w:rPr>
                <w:rFonts w:asciiTheme="minorHAnsi" w:hAnsiTheme="minorHAnsi" w:cstheme="minorHAnsi"/>
                <w:sz w:val="20"/>
              </w:rPr>
              <w:t xml:space="preserve">STABILOX canister in SIMPLIST syringe package mistaken as a vial </w:t>
            </w:r>
          </w:p>
        </w:tc>
      </w:tr>
      <w:tr w:rsidR="007E6149" w:rsidRPr="00EC2382" w14:paraId="4D75FDF6" w14:textId="77777777" w:rsidTr="00EC2382">
        <w:trPr>
          <w:trHeight w:val="1584"/>
          <w:jc w:val="center"/>
        </w:trPr>
        <w:tc>
          <w:tcPr>
            <w:tcW w:w="612" w:type="dxa"/>
            <w:tcBorders>
              <w:top w:val="single" w:sz="4" w:space="0" w:color="FF0000"/>
              <w:left w:val="single" w:sz="4" w:space="0" w:color="FF0000"/>
              <w:bottom w:val="single" w:sz="4" w:space="0" w:color="FF0000"/>
              <w:right w:val="single" w:sz="4" w:space="0" w:color="FF0000"/>
            </w:tcBorders>
            <w:shd w:val="clear" w:color="auto" w:fill="F0EBD3"/>
          </w:tcPr>
          <w:p w14:paraId="719EBF12" w14:textId="77777777" w:rsidR="007E6149" w:rsidRPr="00EC2382" w:rsidRDefault="007E6149" w:rsidP="009249FE">
            <w:pPr>
              <w:pStyle w:val="AGENDA-body"/>
              <w:rPr>
                <w:rFonts w:asciiTheme="minorHAnsi" w:hAnsiTheme="minorHAnsi" w:cstheme="minorHAnsi"/>
              </w:rPr>
            </w:pPr>
            <w:r w:rsidRPr="00EC2382">
              <w:rPr>
                <w:rFonts w:asciiTheme="minorHAnsi" w:hAnsiTheme="minorHAnsi" w:cstheme="minorHAnsi"/>
              </w:rPr>
              <w:t xml:space="preserve">(21) </w:t>
            </w:r>
          </w:p>
        </w:tc>
        <w:tc>
          <w:tcPr>
            <w:tcW w:w="3420" w:type="dxa"/>
            <w:tcBorders>
              <w:top w:val="single" w:sz="4" w:space="0" w:color="FF0000"/>
              <w:left w:val="single" w:sz="4" w:space="0" w:color="FF0000"/>
              <w:bottom w:val="single" w:sz="4" w:space="0" w:color="FF0000"/>
              <w:right w:val="single" w:sz="4" w:space="0" w:color="FF0000"/>
            </w:tcBorders>
            <w:shd w:val="clear" w:color="auto" w:fill="FFF3D6"/>
          </w:tcPr>
          <w:p w14:paraId="721505A1" w14:textId="77777777" w:rsidR="007E6149" w:rsidRPr="00EC2382" w:rsidRDefault="007E6149" w:rsidP="00FC7ECB">
            <w:pPr>
              <w:pStyle w:val="AGENDA-body"/>
              <w:tabs>
                <w:tab w:val="clear" w:pos="5735"/>
                <w:tab w:val="clear" w:pos="7906"/>
                <w:tab w:val="clear" w:pos="10080"/>
              </w:tabs>
              <w:rPr>
                <w:rFonts w:asciiTheme="minorHAnsi" w:hAnsiTheme="minorHAnsi" w:cstheme="minorHAnsi"/>
                <w:spacing w:val="-7"/>
              </w:rPr>
            </w:pPr>
            <w:r w:rsidRPr="00EC2382">
              <w:rPr>
                <w:rFonts w:asciiTheme="minorHAnsi" w:hAnsiTheme="minorHAnsi" w:cstheme="minorHAnsi"/>
                <w:spacing w:val="-8"/>
              </w:rPr>
              <w:t>Simplist morphine syringe packages contain a StabilOx canister which improves product stability. A nurse called the pharmacy to ask how to use the “vial” (canister) in the</w:t>
            </w:r>
            <w:r w:rsidRPr="00EC2382">
              <w:rPr>
                <w:rFonts w:asciiTheme="minorHAnsi" w:hAnsiTheme="minorHAnsi" w:cstheme="minorHAnsi"/>
                <w:spacing w:val="-7"/>
              </w:rPr>
              <w:t xml:space="preserve"> package.</w:t>
            </w:r>
          </w:p>
          <w:p w14:paraId="2B85E780" w14:textId="77777777" w:rsidR="009249FE" w:rsidRPr="00EC2382" w:rsidRDefault="009249FE" w:rsidP="00FC7ECB">
            <w:pPr>
              <w:pStyle w:val="AGENDA-body"/>
              <w:tabs>
                <w:tab w:val="clear" w:pos="5735"/>
                <w:tab w:val="clear" w:pos="7906"/>
                <w:tab w:val="clear" w:pos="10080"/>
              </w:tabs>
              <w:rPr>
                <w:rFonts w:asciiTheme="minorHAnsi" w:hAnsiTheme="minorHAnsi" w:cstheme="minorHAnsi"/>
                <w:spacing w:val="-7"/>
              </w:rPr>
            </w:pPr>
          </w:p>
        </w:tc>
        <w:tc>
          <w:tcPr>
            <w:tcW w:w="3870" w:type="dxa"/>
            <w:tcBorders>
              <w:top w:val="single" w:sz="4" w:space="0" w:color="FF0000"/>
              <w:left w:val="single" w:sz="4" w:space="0" w:color="FF0000"/>
              <w:bottom w:val="single" w:sz="4" w:space="0" w:color="FF0000"/>
              <w:right w:val="single" w:sz="4" w:space="0" w:color="FF0000"/>
            </w:tcBorders>
            <w:shd w:val="clear" w:color="auto" w:fill="F0EBD3"/>
          </w:tcPr>
          <w:p w14:paraId="4B0EF6A3" w14:textId="77777777" w:rsidR="007E6149" w:rsidRPr="00EC2382" w:rsidRDefault="007E6149" w:rsidP="00FC7ECB">
            <w:pPr>
              <w:pStyle w:val="AGENDA-body"/>
              <w:tabs>
                <w:tab w:val="clear" w:pos="5735"/>
                <w:tab w:val="clear" w:pos="7906"/>
                <w:tab w:val="clear" w:pos="10080"/>
              </w:tabs>
              <w:rPr>
                <w:rFonts w:asciiTheme="minorHAnsi" w:hAnsiTheme="minorHAnsi" w:cstheme="minorHAnsi"/>
              </w:rPr>
            </w:pPr>
            <w:r w:rsidRPr="00EC2382">
              <w:rPr>
                <w:rFonts w:asciiTheme="minorHAnsi" w:hAnsiTheme="minorHAnsi" w:cstheme="minorHAnsi"/>
              </w:rPr>
              <w:t xml:space="preserve">Educate nurses about the purpose of StabilOx canisters and instruct them to discard the canisters upon opening the packages. </w:t>
            </w:r>
          </w:p>
        </w:tc>
        <w:tc>
          <w:tcPr>
            <w:tcW w:w="2970" w:type="dxa"/>
            <w:tcBorders>
              <w:top w:val="single" w:sz="4" w:space="0" w:color="FF0000"/>
              <w:left w:val="single" w:sz="4" w:space="0" w:color="FF0000"/>
              <w:bottom w:val="single" w:sz="4" w:space="0" w:color="FF0000"/>
              <w:right w:val="single" w:sz="4" w:space="0" w:color="FF0000"/>
            </w:tcBorders>
          </w:tcPr>
          <w:p w14:paraId="18189C97" w14:textId="77777777" w:rsidR="007E6149" w:rsidRPr="00EC2382" w:rsidRDefault="007E6149" w:rsidP="008C5601">
            <w:pPr>
              <w:pStyle w:val="AC-table-body"/>
              <w:tabs>
                <w:tab w:val="clear" w:pos="5735"/>
                <w:tab w:val="clear" w:pos="7906"/>
                <w:tab w:val="clear" w:pos="10080"/>
              </w:tabs>
              <w:rPr>
                <w:rFonts w:asciiTheme="minorHAnsi" w:hAnsiTheme="minorHAnsi" w:cstheme="minorHAnsi"/>
              </w:rPr>
            </w:pPr>
          </w:p>
        </w:tc>
        <w:tc>
          <w:tcPr>
            <w:tcW w:w="2610" w:type="dxa"/>
            <w:tcBorders>
              <w:top w:val="single" w:sz="4" w:space="0" w:color="FF0000"/>
              <w:left w:val="single" w:sz="4" w:space="0" w:color="FF0000"/>
              <w:bottom w:val="single" w:sz="4" w:space="0" w:color="FF0000"/>
              <w:right w:val="single" w:sz="4" w:space="0" w:color="FF0000"/>
            </w:tcBorders>
          </w:tcPr>
          <w:p w14:paraId="033C0A60" w14:textId="77777777" w:rsidR="007E6149" w:rsidRPr="00EC2382" w:rsidRDefault="007E6149" w:rsidP="008C5601">
            <w:pPr>
              <w:pStyle w:val="AC-table-body"/>
              <w:tabs>
                <w:tab w:val="clear" w:pos="5735"/>
                <w:tab w:val="clear" w:pos="7906"/>
                <w:tab w:val="clear" w:pos="10080"/>
              </w:tabs>
              <w:rPr>
                <w:rFonts w:asciiTheme="minorHAnsi" w:hAnsiTheme="minorHAnsi" w:cstheme="minorHAnsi"/>
              </w:rPr>
            </w:pPr>
          </w:p>
        </w:tc>
        <w:tc>
          <w:tcPr>
            <w:tcW w:w="1206" w:type="dxa"/>
            <w:tcBorders>
              <w:top w:val="single" w:sz="4" w:space="0" w:color="FF0000"/>
              <w:left w:val="single" w:sz="4" w:space="0" w:color="FF0000"/>
              <w:bottom w:val="single" w:sz="4" w:space="0" w:color="FF0000"/>
              <w:right w:val="single" w:sz="4" w:space="0" w:color="FF0000"/>
            </w:tcBorders>
          </w:tcPr>
          <w:p w14:paraId="3166BD39" w14:textId="77777777" w:rsidR="007E6149" w:rsidRPr="00EC2382" w:rsidRDefault="007E6149" w:rsidP="008C5601">
            <w:pPr>
              <w:pStyle w:val="AC-table-body"/>
              <w:tabs>
                <w:tab w:val="clear" w:pos="5735"/>
                <w:tab w:val="clear" w:pos="7906"/>
                <w:tab w:val="clear" w:pos="10080"/>
              </w:tabs>
              <w:rPr>
                <w:rFonts w:asciiTheme="minorHAnsi" w:hAnsiTheme="minorHAnsi" w:cstheme="minorHAnsi"/>
              </w:rPr>
            </w:pPr>
          </w:p>
        </w:tc>
      </w:tr>
      <w:tr w:rsidR="00DE3C6E" w:rsidRPr="00EC2382" w14:paraId="1135FAD7" w14:textId="77777777" w:rsidTr="008C5601">
        <w:trPr>
          <w:jc w:val="center"/>
        </w:trPr>
        <w:tc>
          <w:tcPr>
            <w:tcW w:w="14688" w:type="dxa"/>
            <w:gridSpan w:val="6"/>
            <w:tcBorders>
              <w:top w:val="single" w:sz="4" w:space="0" w:color="FF0000"/>
              <w:left w:val="single" w:sz="4" w:space="0" w:color="FF0000"/>
              <w:bottom w:val="single" w:sz="4" w:space="0" w:color="FF0000"/>
              <w:right w:val="single" w:sz="4" w:space="0" w:color="FF0000"/>
            </w:tcBorders>
            <w:shd w:val="clear" w:color="auto" w:fill="EACB8B"/>
          </w:tcPr>
          <w:p w14:paraId="429CB76F" w14:textId="77777777" w:rsidR="00DE3C6E" w:rsidRPr="00EC2382" w:rsidRDefault="00DE3C6E" w:rsidP="00FC7ECB">
            <w:pPr>
              <w:pStyle w:val="AGENDA-table-titles"/>
              <w:tabs>
                <w:tab w:val="clear" w:pos="5735"/>
                <w:tab w:val="clear" w:pos="7906"/>
                <w:tab w:val="clear" w:pos="10080"/>
              </w:tabs>
              <w:rPr>
                <w:rFonts w:asciiTheme="minorHAnsi" w:hAnsiTheme="minorHAnsi" w:cstheme="minorHAnsi"/>
                <w:sz w:val="20"/>
              </w:rPr>
            </w:pPr>
            <w:r w:rsidRPr="00EC2382">
              <w:rPr>
                <w:rFonts w:asciiTheme="minorHAnsi" w:hAnsiTheme="minorHAnsi" w:cstheme="minorHAnsi"/>
                <w:sz w:val="20"/>
              </w:rPr>
              <w:lastRenderedPageBreak/>
              <w:t>Texting of medical orders can compromise patient safety</w:t>
            </w:r>
          </w:p>
        </w:tc>
      </w:tr>
      <w:tr w:rsidR="00DE3C6E" w:rsidRPr="00EC2382" w14:paraId="17A3833C" w14:textId="77777777" w:rsidTr="00EE4F9F">
        <w:trPr>
          <w:jc w:val="center"/>
        </w:trPr>
        <w:tc>
          <w:tcPr>
            <w:tcW w:w="612" w:type="dxa"/>
            <w:tcBorders>
              <w:top w:val="single" w:sz="4" w:space="0" w:color="FF0000"/>
              <w:left w:val="single" w:sz="4" w:space="0" w:color="FF0000"/>
              <w:bottom w:val="single" w:sz="4" w:space="0" w:color="FF0000"/>
              <w:right w:val="single" w:sz="4" w:space="0" w:color="FF0000"/>
            </w:tcBorders>
            <w:shd w:val="clear" w:color="auto" w:fill="F0EBD3"/>
          </w:tcPr>
          <w:p w14:paraId="5EE4B197" w14:textId="77777777" w:rsidR="00DE3C6E" w:rsidRPr="00EC2382" w:rsidRDefault="00DE3C6E" w:rsidP="00FC7ECB">
            <w:pPr>
              <w:pStyle w:val="AGENDA-body"/>
              <w:tabs>
                <w:tab w:val="clear" w:pos="5735"/>
                <w:tab w:val="clear" w:pos="7906"/>
                <w:tab w:val="clear" w:pos="10080"/>
              </w:tabs>
              <w:rPr>
                <w:rFonts w:asciiTheme="minorHAnsi" w:hAnsiTheme="minorHAnsi" w:cstheme="minorHAnsi"/>
              </w:rPr>
            </w:pPr>
            <w:r w:rsidRPr="00EC2382">
              <w:rPr>
                <w:rFonts w:asciiTheme="minorHAnsi" w:hAnsiTheme="minorHAnsi" w:cstheme="minorHAnsi"/>
              </w:rPr>
              <w:t>(13, 23)</w:t>
            </w:r>
          </w:p>
        </w:tc>
        <w:tc>
          <w:tcPr>
            <w:tcW w:w="3420" w:type="dxa"/>
            <w:tcBorders>
              <w:top w:val="single" w:sz="4" w:space="0" w:color="FF0000"/>
              <w:left w:val="single" w:sz="4" w:space="0" w:color="FF0000"/>
              <w:bottom w:val="single" w:sz="4" w:space="0" w:color="FF0000"/>
              <w:right w:val="single" w:sz="4" w:space="0" w:color="FF0000"/>
            </w:tcBorders>
            <w:shd w:val="clear" w:color="auto" w:fill="FFF3D6"/>
          </w:tcPr>
          <w:p w14:paraId="067DE37F" w14:textId="77777777" w:rsidR="00EE4F9F" w:rsidRPr="00EC2382" w:rsidRDefault="00DE3C6E" w:rsidP="00FC7ECB">
            <w:pPr>
              <w:pStyle w:val="AGENDA-body"/>
              <w:tabs>
                <w:tab w:val="clear" w:pos="5735"/>
                <w:tab w:val="clear" w:pos="7906"/>
                <w:tab w:val="clear" w:pos="10080"/>
              </w:tabs>
              <w:rPr>
                <w:rFonts w:asciiTheme="minorHAnsi" w:hAnsiTheme="minorHAnsi" w:cstheme="minorHAnsi"/>
                <w:spacing w:val="-8"/>
              </w:rPr>
            </w:pPr>
            <w:r w:rsidRPr="00EC2382">
              <w:rPr>
                <w:rFonts w:asciiTheme="minorHAnsi" w:hAnsiTheme="minorHAnsi" w:cstheme="minorHAnsi"/>
                <w:spacing w:val="-8"/>
              </w:rPr>
              <w:t xml:space="preserve">The debate regarding the texting of orders continues. Proponents have embraced the convenience and usefulness of texting orders. Still, results of an ISMP survey revealed high concern regarding potential risks associated with texted orders, such as data security, delays in carrying out orders, unintended autocorrections, misunderstood abbreviations, misspellings, incomplete orders, and patient misidentification.   </w:t>
            </w:r>
          </w:p>
        </w:tc>
        <w:tc>
          <w:tcPr>
            <w:tcW w:w="3870" w:type="dxa"/>
            <w:tcBorders>
              <w:top w:val="single" w:sz="4" w:space="0" w:color="FF0000"/>
              <w:left w:val="single" w:sz="4" w:space="0" w:color="FF0000"/>
              <w:bottom w:val="single" w:sz="4" w:space="0" w:color="FF0000"/>
              <w:right w:val="single" w:sz="4" w:space="0" w:color="FF0000"/>
            </w:tcBorders>
            <w:shd w:val="clear" w:color="auto" w:fill="F0EBD3"/>
          </w:tcPr>
          <w:p w14:paraId="268D395C" w14:textId="77777777" w:rsidR="00DE3C6E" w:rsidRPr="00EC2382" w:rsidRDefault="00DE3C6E" w:rsidP="00FC7ECB">
            <w:pPr>
              <w:pStyle w:val="AGENDA-body"/>
              <w:tabs>
                <w:tab w:val="clear" w:pos="5735"/>
                <w:tab w:val="clear" w:pos="7906"/>
                <w:tab w:val="clear" w:pos="10080"/>
              </w:tabs>
              <w:rPr>
                <w:rFonts w:asciiTheme="minorHAnsi" w:hAnsiTheme="minorHAnsi" w:cstheme="minorHAnsi"/>
                <w:spacing w:val="-6"/>
              </w:rPr>
            </w:pPr>
            <w:r w:rsidRPr="00EC2382">
              <w:rPr>
                <w:rFonts w:asciiTheme="minorHAnsi" w:hAnsiTheme="minorHAnsi" w:cstheme="minorHAnsi"/>
                <w:spacing w:val="-6"/>
              </w:rPr>
              <w:t xml:space="preserve">Establish and communicate policies to avoid the texting of medication orders. The texting of orders is currently prohibited by certain regulatory and accrediting agencies. Safety issues need to be identified and resolved through advanced technology along with the development of industry-wide clinical guidelines to ensure standardized, safe, and secure texting processes can be implemented.  </w:t>
            </w:r>
          </w:p>
        </w:tc>
        <w:tc>
          <w:tcPr>
            <w:tcW w:w="2970" w:type="dxa"/>
            <w:tcBorders>
              <w:top w:val="single" w:sz="4" w:space="0" w:color="FF0000"/>
              <w:left w:val="single" w:sz="4" w:space="0" w:color="FF0000"/>
              <w:bottom w:val="single" w:sz="4" w:space="0" w:color="FF0000"/>
              <w:right w:val="single" w:sz="4" w:space="0" w:color="FF0000"/>
            </w:tcBorders>
          </w:tcPr>
          <w:p w14:paraId="12DE3712" w14:textId="77777777" w:rsidR="00DE3C6E" w:rsidRPr="00EC2382" w:rsidRDefault="00DE3C6E" w:rsidP="008C5601">
            <w:pPr>
              <w:pStyle w:val="AC-table-body"/>
              <w:tabs>
                <w:tab w:val="clear" w:pos="5735"/>
                <w:tab w:val="clear" w:pos="7906"/>
                <w:tab w:val="clear" w:pos="10080"/>
              </w:tabs>
              <w:rPr>
                <w:rFonts w:asciiTheme="minorHAnsi" w:hAnsiTheme="minorHAnsi" w:cstheme="minorHAnsi"/>
              </w:rPr>
            </w:pPr>
          </w:p>
        </w:tc>
        <w:tc>
          <w:tcPr>
            <w:tcW w:w="2610" w:type="dxa"/>
            <w:tcBorders>
              <w:top w:val="single" w:sz="4" w:space="0" w:color="FF0000"/>
              <w:left w:val="single" w:sz="4" w:space="0" w:color="FF0000"/>
              <w:bottom w:val="single" w:sz="4" w:space="0" w:color="FF0000"/>
              <w:right w:val="single" w:sz="4" w:space="0" w:color="FF0000"/>
            </w:tcBorders>
          </w:tcPr>
          <w:p w14:paraId="71F36D4D" w14:textId="77777777" w:rsidR="00DE3C6E" w:rsidRPr="00EC2382" w:rsidRDefault="00DE3C6E" w:rsidP="008C5601">
            <w:pPr>
              <w:pStyle w:val="AC-table-body"/>
              <w:tabs>
                <w:tab w:val="clear" w:pos="5735"/>
                <w:tab w:val="clear" w:pos="7906"/>
                <w:tab w:val="clear" w:pos="10080"/>
              </w:tabs>
              <w:rPr>
                <w:rFonts w:asciiTheme="minorHAnsi" w:hAnsiTheme="minorHAnsi" w:cstheme="minorHAnsi"/>
              </w:rPr>
            </w:pPr>
          </w:p>
        </w:tc>
        <w:tc>
          <w:tcPr>
            <w:tcW w:w="1206" w:type="dxa"/>
            <w:tcBorders>
              <w:top w:val="single" w:sz="4" w:space="0" w:color="FF0000"/>
              <w:left w:val="single" w:sz="4" w:space="0" w:color="FF0000"/>
              <w:bottom w:val="single" w:sz="4" w:space="0" w:color="FF0000"/>
              <w:right w:val="single" w:sz="4" w:space="0" w:color="FF0000"/>
            </w:tcBorders>
          </w:tcPr>
          <w:p w14:paraId="22B512EB" w14:textId="77777777" w:rsidR="00DE3C6E" w:rsidRPr="00EC2382" w:rsidRDefault="00DE3C6E" w:rsidP="008C5601">
            <w:pPr>
              <w:pStyle w:val="AC-table-body"/>
              <w:tabs>
                <w:tab w:val="clear" w:pos="5735"/>
                <w:tab w:val="clear" w:pos="7906"/>
                <w:tab w:val="clear" w:pos="10080"/>
              </w:tabs>
              <w:rPr>
                <w:rFonts w:asciiTheme="minorHAnsi" w:hAnsiTheme="minorHAnsi" w:cstheme="minorHAnsi"/>
              </w:rPr>
            </w:pPr>
          </w:p>
        </w:tc>
      </w:tr>
      <w:tr w:rsidR="00DE3C6E" w:rsidRPr="00EC2382" w14:paraId="3225EB43" w14:textId="77777777" w:rsidTr="008C5601">
        <w:trPr>
          <w:jc w:val="center"/>
        </w:trPr>
        <w:tc>
          <w:tcPr>
            <w:tcW w:w="14688" w:type="dxa"/>
            <w:gridSpan w:val="6"/>
            <w:tcBorders>
              <w:top w:val="single" w:sz="4" w:space="0" w:color="FF0000"/>
              <w:left w:val="single" w:sz="4" w:space="0" w:color="FF0000"/>
              <w:bottom w:val="single" w:sz="4" w:space="0" w:color="FF0000"/>
              <w:right w:val="single" w:sz="4" w:space="0" w:color="FF0000"/>
            </w:tcBorders>
            <w:shd w:val="clear" w:color="auto" w:fill="EACB8B"/>
          </w:tcPr>
          <w:p w14:paraId="76EE61AC" w14:textId="77777777" w:rsidR="00DE3C6E" w:rsidRPr="00EC2382" w:rsidRDefault="00DE3C6E" w:rsidP="00FC7ECB">
            <w:pPr>
              <w:pStyle w:val="AGENDA-table-titles"/>
              <w:tabs>
                <w:tab w:val="clear" w:pos="5735"/>
                <w:tab w:val="clear" w:pos="7906"/>
                <w:tab w:val="clear" w:pos="10080"/>
              </w:tabs>
              <w:rPr>
                <w:rFonts w:asciiTheme="minorHAnsi" w:hAnsiTheme="minorHAnsi" w:cstheme="minorHAnsi"/>
                <w:sz w:val="20"/>
              </w:rPr>
            </w:pPr>
            <w:r w:rsidRPr="00EC2382">
              <w:rPr>
                <w:rFonts w:asciiTheme="minorHAnsi" w:hAnsiTheme="minorHAnsi" w:cstheme="minorHAnsi"/>
                <w:sz w:val="20"/>
              </w:rPr>
              <w:t xml:space="preserve">Misuse of standard insulin pen needles by patients at home after hospitalization </w:t>
            </w:r>
          </w:p>
        </w:tc>
      </w:tr>
      <w:tr w:rsidR="00EE4F9F" w:rsidRPr="00EC2382" w14:paraId="6802A0F1" w14:textId="77777777" w:rsidTr="00EE4F9F">
        <w:trPr>
          <w:jc w:val="center"/>
        </w:trPr>
        <w:tc>
          <w:tcPr>
            <w:tcW w:w="612" w:type="dxa"/>
            <w:tcBorders>
              <w:top w:val="single" w:sz="4" w:space="0" w:color="FF0000"/>
              <w:left w:val="single" w:sz="4" w:space="0" w:color="FF0000"/>
              <w:bottom w:val="single" w:sz="4" w:space="0" w:color="FF0000"/>
              <w:right w:val="single" w:sz="4" w:space="0" w:color="FF0000"/>
            </w:tcBorders>
            <w:shd w:val="clear" w:color="auto" w:fill="F0EBD3"/>
          </w:tcPr>
          <w:p w14:paraId="73BF32D7" w14:textId="77777777" w:rsidR="00EE4F9F" w:rsidRPr="00EC2382" w:rsidRDefault="00EE4F9F" w:rsidP="00FC7ECB">
            <w:pPr>
              <w:pStyle w:val="AGENDA-body"/>
              <w:rPr>
                <w:rFonts w:asciiTheme="minorHAnsi" w:hAnsiTheme="minorHAnsi" w:cstheme="minorHAnsi"/>
              </w:rPr>
            </w:pPr>
            <w:r w:rsidRPr="00EC2382">
              <w:rPr>
                <w:rFonts w:asciiTheme="minorHAnsi" w:hAnsiTheme="minorHAnsi" w:cstheme="minorHAnsi"/>
              </w:rPr>
              <w:t xml:space="preserve">(21) </w:t>
            </w:r>
          </w:p>
          <w:p w14:paraId="090E6994" w14:textId="77777777" w:rsidR="00EE4F9F" w:rsidRPr="00EC2382" w:rsidRDefault="00EE4F9F" w:rsidP="00FC7ECB">
            <w:pPr>
              <w:pStyle w:val="AGENDA-body"/>
              <w:tabs>
                <w:tab w:val="clear" w:pos="5735"/>
                <w:tab w:val="clear" w:pos="7906"/>
                <w:tab w:val="clear" w:pos="10080"/>
              </w:tabs>
              <w:rPr>
                <w:rFonts w:asciiTheme="minorHAnsi" w:hAnsiTheme="minorHAnsi" w:cstheme="minorHAnsi"/>
              </w:rPr>
            </w:pPr>
            <w:r w:rsidRPr="00EC2382">
              <w:rPr>
                <w:rFonts w:asciiTheme="minorHAnsi" w:hAnsiTheme="minorHAnsi" w:cstheme="minorHAnsi"/>
                <w:noProof/>
                <w:lang w:bidi="ar-SA"/>
              </w:rPr>
              <w:drawing>
                <wp:inline distT="0" distB="0" distL="0" distR="0" wp14:anchorId="5BCF430D" wp14:editId="394C37F1">
                  <wp:extent cx="152387" cy="12191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 safety icon-alert.png"/>
                          <pic:cNvPicPr/>
                        </pic:nvPicPr>
                        <pic:blipFill>
                          <a:blip r:embed="rId10">
                            <a:extLst>
                              <a:ext uri="{28A0092B-C50C-407E-A947-70E740481C1C}">
                                <a14:useLocalDpi xmlns:a14="http://schemas.microsoft.com/office/drawing/2010/main" val="0"/>
                              </a:ext>
                            </a:extLst>
                          </a:blip>
                          <a:stretch>
                            <a:fillRect/>
                          </a:stretch>
                        </pic:blipFill>
                        <pic:spPr>
                          <a:xfrm>
                            <a:off x="0" y="0"/>
                            <a:ext cx="152387" cy="121910"/>
                          </a:xfrm>
                          <a:prstGeom prst="rect">
                            <a:avLst/>
                          </a:prstGeom>
                        </pic:spPr>
                      </pic:pic>
                    </a:graphicData>
                  </a:graphic>
                </wp:inline>
              </w:drawing>
            </w:r>
          </w:p>
        </w:tc>
        <w:tc>
          <w:tcPr>
            <w:tcW w:w="3420" w:type="dxa"/>
            <w:tcBorders>
              <w:top w:val="single" w:sz="4" w:space="0" w:color="FF0000"/>
              <w:left w:val="single" w:sz="4" w:space="0" w:color="FF0000"/>
              <w:bottom w:val="single" w:sz="4" w:space="0" w:color="FF0000"/>
              <w:right w:val="single" w:sz="4" w:space="0" w:color="FF0000"/>
            </w:tcBorders>
            <w:shd w:val="clear" w:color="auto" w:fill="FFF3D6"/>
          </w:tcPr>
          <w:p w14:paraId="08F515D5" w14:textId="77777777" w:rsidR="00EE4F9F" w:rsidRPr="00EC2382" w:rsidRDefault="00EE4F9F" w:rsidP="00FC7ECB">
            <w:pPr>
              <w:pStyle w:val="AGENDA-body"/>
              <w:tabs>
                <w:tab w:val="clear" w:pos="5735"/>
                <w:tab w:val="clear" w:pos="7906"/>
                <w:tab w:val="clear" w:pos="10080"/>
              </w:tabs>
              <w:rPr>
                <w:rFonts w:asciiTheme="minorHAnsi" w:hAnsiTheme="minorHAnsi" w:cstheme="minorHAnsi"/>
                <w:spacing w:val="-8"/>
              </w:rPr>
            </w:pPr>
            <w:r w:rsidRPr="00EC2382">
              <w:rPr>
                <w:rFonts w:asciiTheme="minorHAnsi" w:hAnsiTheme="minorHAnsi" w:cstheme="minorHAnsi"/>
                <w:spacing w:val="-8"/>
              </w:rPr>
              <w:t>While hospital staff often use insulin pens with a safety needle that does not require removal of the needle cover prior to injection, patients often use a standard insulin pen needle at home, which has a needle cover that must be removed before injection. Some hospitalized patients who have been taught to inject insulin using a pen with a safety needle have tried to inject insulin at home without removing the needle cover on a standard needle, thus failing to administer the insulin. One patient developed ketoacidosis and died.</w:t>
            </w:r>
          </w:p>
        </w:tc>
        <w:tc>
          <w:tcPr>
            <w:tcW w:w="3870" w:type="dxa"/>
            <w:tcBorders>
              <w:top w:val="single" w:sz="4" w:space="0" w:color="FF0000"/>
              <w:left w:val="single" w:sz="4" w:space="0" w:color="FF0000"/>
              <w:bottom w:val="single" w:sz="4" w:space="0" w:color="FF0000"/>
              <w:right w:val="single" w:sz="4" w:space="0" w:color="FF0000"/>
            </w:tcBorders>
            <w:shd w:val="clear" w:color="auto" w:fill="F0EBD3"/>
          </w:tcPr>
          <w:p w14:paraId="3D532F4C" w14:textId="77777777" w:rsidR="00EE4F9F" w:rsidRPr="00EC2382" w:rsidRDefault="00EE4F9F" w:rsidP="00FC7ECB">
            <w:pPr>
              <w:pStyle w:val="AGENDA-body"/>
              <w:tabs>
                <w:tab w:val="clear" w:pos="5735"/>
                <w:tab w:val="clear" w:pos="7906"/>
                <w:tab w:val="clear" w:pos="10080"/>
              </w:tabs>
              <w:rPr>
                <w:rFonts w:asciiTheme="minorHAnsi" w:hAnsiTheme="minorHAnsi" w:cstheme="minorHAnsi"/>
              </w:rPr>
            </w:pPr>
            <w:r w:rsidRPr="00EC2382">
              <w:rPr>
                <w:rFonts w:asciiTheme="minorHAnsi" w:hAnsiTheme="minorHAnsi" w:cstheme="minorHAnsi"/>
                <w:spacing w:val="-7"/>
              </w:rPr>
              <w:t>Teach patients how to administer the insulin with the pen they will be using at home and require a return demonstration. Verify which pen needle the patient will be using and tailor the training to that needle. Remind patients that a standard pen needle is different from what may have been used in the hospital. Review injection technique with the patient if blood glucose levels are elevated. A National Alert Network (NAN) communication offers further details (</w:t>
            </w:r>
            <w:r w:rsidRPr="00EC2382">
              <w:rPr>
                <w:rFonts w:asciiTheme="minorHAnsi" w:hAnsiTheme="minorHAnsi" w:cstheme="minorHAnsi"/>
                <w:color w:val="0000FF"/>
                <w:spacing w:val="-7"/>
                <w:u w:val="single"/>
              </w:rPr>
              <w:t>http://ismp.org/NAN/files/NAN -</w:t>
            </w:r>
            <w:r w:rsidRPr="00EC2382">
              <w:rPr>
                <w:rFonts w:asciiTheme="minorHAnsi" w:hAnsiTheme="minorHAnsi" w:cstheme="minorHAnsi"/>
                <w:color w:val="0000FF"/>
                <w:u w:val="single"/>
              </w:rPr>
              <w:t>20171012.pdf</w:t>
            </w:r>
            <w:r w:rsidRPr="00EC2382">
              <w:rPr>
                <w:rFonts w:asciiTheme="minorHAnsi" w:hAnsiTheme="minorHAnsi" w:cstheme="minorHAnsi"/>
              </w:rPr>
              <w:t xml:space="preserve">).   </w:t>
            </w:r>
          </w:p>
        </w:tc>
        <w:tc>
          <w:tcPr>
            <w:tcW w:w="2970" w:type="dxa"/>
            <w:tcBorders>
              <w:top w:val="single" w:sz="4" w:space="0" w:color="FF0000"/>
              <w:left w:val="single" w:sz="4" w:space="0" w:color="FF0000"/>
              <w:bottom w:val="single" w:sz="4" w:space="0" w:color="FF0000"/>
              <w:right w:val="single" w:sz="4" w:space="0" w:color="FF0000"/>
            </w:tcBorders>
          </w:tcPr>
          <w:p w14:paraId="3B4A42D0" w14:textId="77777777" w:rsidR="00EE4F9F" w:rsidRPr="00EC2382" w:rsidRDefault="00EE4F9F" w:rsidP="008C5601">
            <w:pPr>
              <w:pStyle w:val="AC-table-body"/>
              <w:tabs>
                <w:tab w:val="clear" w:pos="5735"/>
                <w:tab w:val="clear" w:pos="7906"/>
                <w:tab w:val="clear" w:pos="10080"/>
              </w:tabs>
              <w:rPr>
                <w:rFonts w:asciiTheme="minorHAnsi" w:hAnsiTheme="minorHAnsi" w:cstheme="minorHAnsi"/>
              </w:rPr>
            </w:pPr>
          </w:p>
        </w:tc>
        <w:tc>
          <w:tcPr>
            <w:tcW w:w="2610" w:type="dxa"/>
            <w:tcBorders>
              <w:top w:val="single" w:sz="4" w:space="0" w:color="FF0000"/>
              <w:left w:val="single" w:sz="4" w:space="0" w:color="FF0000"/>
              <w:bottom w:val="single" w:sz="4" w:space="0" w:color="FF0000"/>
              <w:right w:val="single" w:sz="4" w:space="0" w:color="FF0000"/>
            </w:tcBorders>
          </w:tcPr>
          <w:p w14:paraId="2AF1F4FD" w14:textId="77777777" w:rsidR="00EE4F9F" w:rsidRPr="00EC2382" w:rsidRDefault="00EE4F9F" w:rsidP="008C5601">
            <w:pPr>
              <w:pStyle w:val="AC-table-body"/>
              <w:tabs>
                <w:tab w:val="clear" w:pos="5735"/>
                <w:tab w:val="clear" w:pos="7906"/>
                <w:tab w:val="clear" w:pos="10080"/>
              </w:tabs>
              <w:rPr>
                <w:rFonts w:asciiTheme="minorHAnsi" w:hAnsiTheme="minorHAnsi" w:cstheme="minorHAnsi"/>
              </w:rPr>
            </w:pPr>
          </w:p>
        </w:tc>
        <w:tc>
          <w:tcPr>
            <w:tcW w:w="1206" w:type="dxa"/>
            <w:tcBorders>
              <w:top w:val="single" w:sz="4" w:space="0" w:color="FF0000"/>
              <w:left w:val="single" w:sz="4" w:space="0" w:color="FF0000"/>
              <w:bottom w:val="single" w:sz="4" w:space="0" w:color="FF0000"/>
              <w:right w:val="single" w:sz="4" w:space="0" w:color="FF0000"/>
            </w:tcBorders>
          </w:tcPr>
          <w:p w14:paraId="1F505612" w14:textId="77777777" w:rsidR="00EE4F9F" w:rsidRPr="00EC2382" w:rsidRDefault="00EE4F9F" w:rsidP="008C5601">
            <w:pPr>
              <w:pStyle w:val="AC-table-body"/>
              <w:tabs>
                <w:tab w:val="clear" w:pos="5735"/>
                <w:tab w:val="clear" w:pos="7906"/>
                <w:tab w:val="clear" w:pos="10080"/>
              </w:tabs>
              <w:rPr>
                <w:rFonts w:asciiTheme="minorHAnsi" w:hAnsiTheme="minorHAnsi" w:cstheme="minorHAnsi"/>
              </w:rPr>
            </w:pPr>
          </w:p>
        </w:tc>
      </w:tr>
      <w:tr w:rsidR="00D115DD" w:rsidRPr="00EC2382" w14:paraId="3CB3527F" w14:textId="77777777" w:rsidTr="008C5601">
        <w:trPr>
          <w:jc w:val="center"/>
        </w:trPr>
        <w:tc>
          <w:tcPr>
            <w:tcW w:w="14688" w:type="dxa"/>
            <w:gridSpan w:val="6"/>
            <w:tcBorders>
              <w:top w:val="single" w:sz="4" w:space="0" w:color="FF0000"/>
              <w:left w:val="single" w:sz="4" w:space="0" w:color="FF0000"/>
              <w:bottom w:val="single" w:sz="4" w:space="0" w:color="FF0000"/>
              <w:right w:val="single" w:sz="4" w:space="0" w:color="FF0000"/>
            </w:tcBorders>
            <w:shd w:val="clear" w:color="auto" w:fill="EACB8B"/>
          </w:tcPr>
          <w:p w14:paraId="47E5246D" w14:textId="77777777" w:rsidR="00D115DD" w:rsidRPr="00EC2382" w:rsidRDefault="00D115DD" w:rsidP="00FC7ECB">
            <w:pPr>
              <w:pStyle w:val="AGENDA-table-titles"/>
              <w:tabs>
                <w:tab w:val="clear" w:pos="5735"/>
                <w:tab w:val="clear" w:pos="7906"/>
                <w:tab w:val="clear" w:pos="10080"/>
              </w:tabs>
              <w:rPr>
                <w:rFonts w:asciiTheme="minorHAnsi" w:hAnsiTheme="minorHAnsi" w:cstheme="minorHAnsi"/>
                <w:sz w:val="20"/>
              </w:rPr>
            </w:pPr>
            <w:r w:rsidRPr="00EC2382">
              <w:rPr>
                <w:rFonts w:asciiTheme="minorHAnsi" w:hAnsiTheme="minorHAnsi" w:cstheme="minorHAnsi"/>
                <w:sz w:val="20"/>
              </w:rPr>
              <w:t>Improper use of the BD AUTOSHIELD DUO and NOVOFINE AUTOCOVER insulin pen safety needles</w:t>
            </w:r>
          </w:p>
        </w:tc>
      </w:tr>
      <w:tr w:rsidR="00EE4F9F" w:rsidRPr="00EC2382" w14:paraId="221B6833" w14:textId="77777777" w:rsidTr="00EE4F9F">
        <w:trPr>
          <w:jc w:val="center"/>
        </w:trPr>
        <w:tc>
          <w:tcPr>
            <w:tcW w:w="612" w:type="dxa"/>
            <w:tcBorders>
              <w:top w:val="single" w:sz="4" w:space="0" w:color="FF0000"/>
              <w:left w:val="single" w:sz="4" w:space="0" w:color="FF0000"/>
              <w:bottom w:val="single" w:sz="4" w:space="0" w:color="FF0000"/>
              <w:right w:val="single" w:sz="4" w:space="0" w:color="FF0000"/>
            </w:tcBorders>
            <w:shd w:val="clear" w:color="auto" w:fill="F0EBD3"/>
          </w:tcPr>
          <w:p w14:paraId="4670B75D" w14:textId="77777777" w:rsidR="00EE4F9F" w:rsidRPr="00EC2382" w:rsidRDefault="00EE4F9F" w:rsidP="00FC7ECB">
            <w:pPr>
              <w:pStyle w:val="AGENDA-body"/>
              <w:rPr>
                <w:rFonts w:asciiTheme="minorHAnsi" w:hAnsiTheme="minorHAnsi" w:cstheme="minorHAnsi"/>
              </w:rPr>
            </w:pPr>
            <w:r w:rsidRPr="00EC2382">
              <w:rPr>
                <w:rFonts w:asciiTheme="minorHAnsi" w:hAnsiTheme="minorHAnsi" w:cstheme="minorHAnsi"/>
              </w:rPr>
              <w:t xml:space="preserve">(22) </w:t>
            </w:r>
          </w:p>
          <w:p w14:paraId="6D3753D5" w14:textId="77777777" w:rsidR="00EE4F9F" w:rsidRPr="00EC2382" w:rsidRDefault="00EE4F9F" w:rsidP="00FC7ECB">
            <w:pPr>
              <w:pStyle w:val="AGENDA-body"/>
              <w:tabs>
                <w:tab w:val="clear" w:pos="5735"/>
                <w:tab w:val="clear" w:pos="7906"/>
                <w:tab w:val="clear" w:pos="10080"/>
              </w:tabs>
              <w:rPr>
                <w:rFonts w:asciiTheme="minorHAnsi" w:hAnsiTheme="minorHAnsi" w:cstheme="minorHAnsi"/>
              </w:rPr>
            </w:pPr>
            <w:r w:rsidRPr="00EC2382">
              <w:rPr>
                <w:rFonts w:asciiTheme="minorHAnsi" w:hAnsiTheme="minorHAnsi" w:cstheme="minorHAnsi"/>
                <w:noProof/>
                <w:lang w:bidi="ar-SA"/>
              </w:rPr>
              <w:drawing>
                <wp:inline distT="0" distB="0" distL="0" distR="0" wp14:anchorId="3C0AF9CF" wp14:editId="0C1E4B33">
                  <wp:extent cx="152387" cy="12191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 safety icon-alert.png"/>
                          <pic:cNvPicPr/>
                        </pic:nvPicPr>
                        <pic:blipFill>
                          <a:blip r:embed="rId10">
                            <a:extLst>
                              <a:ext uri="{28A0092B-C50C-407E-A947-70E740481C1C}">
                                <a14:useLocalDpi xmlns:a14="http://schemas.microsoft.com/office/drawing/2010/main" val="0"/>
                              </a:ext>
                            </a:extLst>
                          </a:blip>
                          <a:stretch>
                            <a:fillRect/>
                          </a:stretch>
                        </pic:blipFill>
                        <pic:spPr>
                          <a:xfrm>
                            <a:off x="0" y="0"/>
                            <a:ext cx="152387" cy="121910"/>
                          </a:xfrm>
                          <a:prstGeom prst="rect">
                            <a:avLst/>
                          </a:prstGeom>
                        </pic:spPr>
                      </pic:pic>
                    </a:graphicData>
                  </a:graphic>
                </wp:inline>
              </w:drawing>
            </w:r>
          </w:p>
        </w:tc>
        <w:tc>
          <w:tcPr>
            <w:tcW w:w="3420" w:type="dxa"/>
            <w:tcBorders>
              <w:top w:val="single" w:sz="4" w:space="0" w:color="FF0000"/>
              <w:left w:val="single" w:sz="4" w:space="0" w:color="FF0000"/>
              <w:bottom w:val="single" w:sz="4" w:space="0" w:color="FF0000"/>
              <w:right w:val="single" w:sz="4" w:space="0" w:color="FF0000"/>
            </w:tcBorders>
            <w:shd w:val="clear" w:color="auto" w:fill="FFF3D6"/>
          </w:tcPr>
          <w:p w14:paraId="7E98058A" w14:textId="77777777" w:rsidR="00EE4F9F" w:rsidRPr="00EC2382" w:rsidRDefault="00EE4F9F" w:rsidP="00FC7ECB">
            <w:pPr>
              <w:pStyle w:val="AGENDA-body"/>
              <w:tabs>
                <w:tab w:val="clear" w:pos="5735"/>
                <w:tab w:val="clear" w:pos="7906"/>
                <w:tab w:val="clear" w:pos="10080"/>
              </w:tabs>
              <w:rPr>
                <w:rFonts w:asciiTheme="minorHAnsi" w:hAnsiTheme="minorHAnsi" w:cstheme="minorHAnsi"/>
              </w:rPr>
            </w:pPr>
            <w:r w:rsidRPr="00EC2382">
              <w:rPr>
                <w:rFonts w:asciiTheme="minorHAnsi" w:hAnsiTheme="minorHAnsi" w:cstheme="minorHAnsi"/>
                <w:spacing w:val="-8"/>
              </w:rPr>
              <w:t>A patient required 5 emergency department (ED) visits and a hospital admission for hyperglycemia and ketoacidosis caused by nursing home staff misuse of the BD AutoShield Duo insulin pen safety needle. Some staff did not press hard enough for the needle cover to retract, and others injected the insulin at an angle that did not allow the retraction mechanism to work. Similar problems are possible with the NovoFine Autocover safety</w:t>
            </w:r>
            <w:r w:rsidRPr="00EC2382">
              <w:rPr>
                <w:rFonts w:asciiTheme="minorHAnsi" w:hAnsiTheme="minorHAnsi" w:cstheme="minorHAnsi"/>
              </w:rPr>
              <w:t xml:space="preserve"> needles. </w:t>
            </w:r>
          </w:p>
          <w:p w14:paraId="29198661" w14:textId="77777777" w:rsidR="00EE4F9F" w:rsidRPr="00EC2382" w:rsidRDefault="00EE4F9F" w:rsidP="00FC7ECB">
            <w:pPr>
              <w:pStyle w:val="AGENDA-body"/>
              <w:tabs>
                <w:tab w:val="clear" w:pos="5735"/>
                <w:tab w:val="clear" w:pos="7906"/>
                <w:tab w:val="clear" w:pos="10080"/>
              </w:tabs>
              <w:rPr>
                <w:rFonts w:asciiTheme="minorHAnsi" w:hAnsiTheme="minorHAnsi" w:cstheme="minorHAnsi"/>
              </w:rPr>
            </w:pPr>
          </w:p>
        </w:tc>
        <w:tc>
          <w:tcPr>
            <w:tcW w:w="3870" w:type="dxa"/>
            <w:tcBorders>
              <w:top w:val="single" w:sz="4" w:space="0" w:color="FF0000"/>
              <w:left w:val="single" w:sz="4" w:space="0" w:color="FF0000"/>
              <w:bottom w:val="single" w:sz="4" w:space="0" w:color="FF0000"/>
              <w:right w:val="single" w:sz="4" w:space="0" w:color="FF0000"/>
            </w:tcBorders>
            <w:shd w:val="clear" w:color="auto" w:fill="F0EBD3"/>
          </w:tcPr>
          <w:p w14:paraId="53450BD5" w14:textId="77777777" w:rsidR="00EE4F9F" w:rsidRPr="00EC2382" w:rsidRDefault="00EE4F9F" w:rsidP="00FC7ECB">
            <w:pPr>
              <w:pStyle w:val="AGENDA-body"/>
              <w:tabs>
                <w:tab w:val="clear" w:pos="5735"/>
                <w:tab w:val="clear" w:pos="7906"/>
                <w:tab w:val="clear" w:pos="10080"/>
              </w:tabs>
              <w:rPr>
                <w:rFonts w:asciiTheme="minorHAnsi" w:hAnsiTheme="minorHAnsi" w:cstheme="minorHAnsi"/>
              </w:rPr>
            </w:pPr>
            <w:r w:rsidRPr="00EC2382">
              <w:rPr>
                <w:rFonts w:asciiTheme="minorHAnsi" w:hAnsiTheme="minorHAnsi" w:cstheme="minorHAnsi"/>
              </w:rPr>
              <w:t xml:space="preserve">Educate staff about the proper use of insulin pens and safety needles. Include a requirement to look for the red indicator on the BD AutoShield Duo and NovoFine Autocover post-injection to ensure that the needle has retracted properly. Patients rarely use safety needles unless a caregiver is administering the insulin. If this is the case, also educate the caregivers about proper use of the pen and safety needles. </w:t>
            </w:r>
          </w:p>
        </w:tc>
        <w:tc>
          <w:tcPr>
            <w:tcW w:w="2970" w:type="dxa"/>
            <w:tcBorders>
              <w:top w:val="single" w:sz="4" w:space="0" w:color="FF0000"/>
              <w:left w:val="single" w:sz="4" w:space="0" w:color="FF0000"/>
              <w:bottom w:val="single" w:sz="4" w:space="0" w:color="FF0000"/>
              <w:right w:val="single" w:sz="4" w:space="0" w:color="FF0000"/>
            </w:tcBorders>
          </w:tcPr>
          <w:p w14:paraId="1AE3C6FE" w14:textId="77777777" w:rsidR="00EE4F9F" w:rsidRPr="00EC2382" w:rsidRDefault="00EE4F9F" w:rsidP="008C5601">
            <w:pPr>
              <w:pStyle w:val="AC-table-body"/>
              <w:tabs>
                <w:tab w:val="clear" w:pos="5735"/>
                <w:tab w:val="clear" w:pos="7906"/>
                <w:tab w:val="clear" w:pos="10080"/>
              </w:tabs>
              <w:rPr>
                <w:rFonts w:asciiTheme="minorHAnsi" w:hAnsiTheme="minorHAnsi" w:cstheme="minorHAnsi"/>
              </w:rPr>
            </w:pPr>
          </w:p>
        </w:tc>
        <w:tc>
          <w:tcPr>
            <w:tcW w:w="2610" w:type="dxa"/>
            <w:tcBorders>
              <w:top w:val="single" w:sz="4" w:space="0" w:color="FF0000"/>
              <w:left w:val="single" w:sz="4" w:space="0" w:color="FF0000"/>
              <w:bottom w:val="single" w:sz="4" w:space="0" w:color="FF0000"/>
              <w:right w:val="single" w:sz="4" w:space="0" w:color="FF0000"/>
            </w:tcBorders>
          </w:tcPr>
          <w:p w14:paraId="2F55C53B" w14:textId="77777777" w:rsidR="00EE4F9F" w:rsidRPr="00EC2382" w:rsidRDefault="00EE4F9F" w:rsidP="008C5601">
            <w:pPr>
              <w:pStyle w:val="AC-table-body"/>
              <w:tabs>
                <w:tab w:val="clear" w:pos="5735"/>
                <w:tab w:val="clear" w:pos="7906"/>
                <w:tab w:val="clear" w:pos="10080"/>
              </w:tabs>
              <w:rPr>
                <w:rFonts w:asciiTheme="minorHAnsi" w:hAnsiTheme="minorHAnsi" w:cstheme="minorHAnsi"/>
              </w:rPr>
            </w:pPr>
          </w:p>
        </w:tc>
        <w:tc>
          <w:tcPr>
            <w:tcW w:w="1206" w:type="dxa"/>
            <w:tcBorders>
              <w:top w:val="single" w:sz="4" w:space="0" w:color="FF0000"/>
              <w:left w:val="single" w:sz="4" w:space="0" w:color="FF0000"/>
              <w:bottom w:val="single" w:sz="4" w:space="0" w:color="FF0000"/>
              <w:right w:val="single" w:sz="4" w:space="0" w:color="FF0000"/>
            </w:tcBorders>
          </w:tcPr>
          <w:p w14:paraId="087C42CD" w14:textId="77777777" w:rsidR="00EE4F9F" w:rsidRPr="00EC2382" w:rsidRDefault="00EE4F9F" w:rsidP="008C5601">
            <w:pPr>
              <w:pStyle w:val="AC-table-body"/>
              <w:tabs>
                <w:tab w:val="clear" w:pos="5735"/>
                <w:tab w:val="clear" w:pos="7906"/>
                <w:tab w:val="clear" w:pos="10080"/>
              </w:tabs>
              <w:rPr>
                <w:rFonts w:asciiTheme="minorHAnsi" w:hAnsiTheme="minorHAnsi" w:cstheme="minorHAnsi"/>
              </w:rPr>
            </w:pPr>
          </w:p>
        </w:tc>
      </w:tr>
      <w:tr w:rsidR="00B64247" w:rsidRPr="00EC2382" w14:paraId="13296864" w14:textId="77777777" w:rsidTr="008C5601">
        <w:trPr>
          <w:jc w:val="center"/>
        </w:trPr>
        <w:tc>
          <w:tcPr>
            <w:tcW w:w="14688" w:type="dxa"/>
            <w:gridSpan w:val="6"/>
            <w:tcBorders>
              <w:top w:val="single" w:sz="4" w:space="0" w:color="FF0000"/>
              <w:left w:val="single" w:sz="4" w:space="0" w:color="FF0000"/>
              <w:bottom w:val="single" w:sz="4" w:space="0" w:color="FF0000"/>
              <w:right w:val="single" w:sz="4" w:space="0" w:color="FF0000"/>
            </w:tcBorders>
            <w:shd w:val="clear" w:color="auto" w:fill="EACB8B"/>
          </w:tcPr>
          <w:p w14:paraId="10792913" w14:textId="77777777" w:rsidR="00B64247" w:rsidRPr="00EC2382" w:rsidRDefault="00B64247" w:rsidP="00FC7ECB">
            <w:pPr>
              <w:pStyle w:val="AGENDA-table-titles"/>
              <w:tabs>
                <w:tab w:val="clear" w:pos="5735"/>
                <w:tab w:val="clear" w:pos="7906"/>
                <w:tab w:val="clear" w:pos="10080"/>
              </w:tabs>
              <w:rPr>
                <w:rFonts w:asciiTheme="minorHAnsi" w:hAnsiTheme="minorHAnsi" w:cstheme="minorHAnsi"/>
                <w:sz w:val="20"/>
              </w:rPr>
            </w:pPr>
            <w:r w:rsidRPr="00EC2382">
              <w:rPr>
                <w:rFonts w:asciiTheme="minorHAnsi" w:hAnsiTheme="minorHAnsi" w:cstheme="minorHAnsi"/>
                <w:sz w:val="20"/>
              </w:rPr>
              <w:lastRenderedPageBreak/>
              <w:t>Confusion with measuring the correct dose with a U-500 insulin pen</w:t>
            </w:r>
          </w:p>
        </w:tc>
      </w:tr>
      <w:tr w:rsidR="00B64247" w:rsidRPr="00EC2382" w14:paraId="30F232B1" w14:textId="77777777" w:rsidTr="00EE4F9F">
        <w:trPr>
          <w:jc w:val="center"/>
        </w:trPr>
        <w:tc>
          <w:tcPr>
            <w:tcW w:w="612" w:type="dxa"/>
            <w:tcBorders>
              <w:top w:val="single" w:sz="4" w:space="0" w:color="FF0000"/>
              <w:left w:val="single" w:sz="4" w:space="0" w:color="FF0000"/>
              <w:bottom w:val="single" w:sz="4" w:space="0" w:color="FF0000"/>
              <w:right w:val="single" w:sz="4" w:space="0" w:color="FF0000"/>
            </w:tcBorders>
            <w:shd w:val="clear" w:color="auto" w:fill="F0EBD3"/>
          </w:tcPr>
          <w:p w14:paraId="3696776E" w14:textId="77777777" w:rsidR="00183A13" w:rsidRPr="00EC2382" w:rsidRDefault="00183A13" w:rsidP="00183A13">
            <w:pPr>
              <w:pStyle w:val="AGENDA-body"/>
              <w:rPr>
                <w:rFonts w:asciiTheme="minorHAnsi" w:hAnsiTheme="minorHAnsi" w:cstheme="minorHAnsi"/>
              </w:rPr>
            </w:pPr>
            <w:r w:rsidRPr="00EC2382">
              <w:rPr>
                <w:rFonts w:asciiTheme="minorHAnsi" w:hAnsiTheme="minorHAnsi" w:cstheme="minorHAnsi"/>
              </w:rPr>
              <w:t xml:space="preserve">(25) </w:t>
            </w:r>
          </w:p>
          <w:p w14:paraId="45708C28" w14:textId="77777777" w:rsidR="00B64247" w:rsidRPr="00EC2382" w:rsidRDefault="00183A13" w:rsidP="00183A13">
            <w:pPr>
              <w:pStyle w:val="AGENDA-body"/>
              <w:tabs>
                <w:tab w:val="clear" w:pos="5735"/>
                <w:tab w:val="clear" w:pos="7906"/>
                <w:tab w:val="clear" w:pos="10080"/>
              </w:tabs>
              <w:rPr>
                <w:rFonts w:asciiTheme="minorHAnsi" w:hAnsiTheme="minorHAnsi" w:cstheme="minorHAnsi"/>
              </w:rPr>
            </w:pPr>
            <w:r w:rsidRPr="00EC2382">
              <w:rPr>
                <w:rFonts w:asciiTheme="minorHAnsi" w:hAnsiTheme="minorHAnsi" w:cstheme="minorHAnsi"/>
                <w:noProof/>
                <w:lang w:bidi="ar-SA"/>
              </w:rPr>
              <w:drawing>
                <wp:inline distT="0" distB="0" distL="0" distR="0" wp14:anchorId="0137A492" wp14:editId="4EB11BA0">
                  <wp:extent cx="152387" cy="12191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 safety icon-alert.png"/>
                          <pic:cNvPicPr/>
                        </pic:nvPicPr>
                        <pic:blipFill>
                          <a:blip r:embed="rId10">
                            <a:extLst>
                              <a:ext uri="{28A0092B-C50C-407E-A947-70E740481C1C}">
                                <a14:useLocalDpi xmlns:a14="http://schemas.microsoft.com/office/drawing/2010/main" val="0"/>
                              </a:ext>
                            </a:extLst>
                          </a:blip>
                          <a:stretch>
                            <a:fillRect/>
                          </a:stretch>
                        </pic:blipFill>
                        <pic:spPr>
                          <a:xfrm>
                            <a:off x="0" y="0"/>
                            <a:ext cx="152387" cy="121910"/>
                          </a:xfrm>
                          <a:prstGeom prst="rect">
                            <a:avLst/>
                          </a:prstGeom>
                        </pic:spPr>
                      </pic:pic>
                    </a:graphicData>
                  </a:graphic>
                </wp:inline>
              </w:drawing>
            </w:r>
          </w:p>
        </w:tc>
        <w:tc>
          <w:tcPr>
            <w:tcW w:w="3420" w:type="dxa"/>
            <w:tcBorders>
              <w:top w:val="single" w:sz="4" w:space="0" w:color="FF0000"/>
              <w:left w:val="single" w:sz="4" w:space="0" w:color="FF0000"/>
              <w:bottom w:val="single" w:sz="4" w:space="0" w:color="FF0000"/>
              <w:right w:val="single" w:sz="4" w:space="0" w:color="FF0000"/>
            </w:tcBorders>
            <w:shd w:val="clear" w:color="auto" w:fill="FFF3D6"/>
          </w:tcPr>
          <w:p w14:paraId="09BDA22B" w14:textId="77777777" w:rsidR="00F409DB" w:rsidRPr="00EC2382" w:rsidRDefault="00B64247" w:rsidP="00EC2382">
            <w:pPr>
              <w:pStyle w:val="AGENDA-body"/>
              <w:tabs>
                <w:tab w:val="clear" w:pos="5735"/>
                <w:tab w:val="clear" w:pos="7906"/>
                <w:tab w:val="clear" w:pos="10080"/>
              </w:tabs>
              <w:rPr>
                <w:rFonts w:asciiTheme="minorHAnsi" w:hAnsiTheme="minorHAnsi" w:cstheme="minorHAnsi"/>
                <w:spacing w:val="-7"/>
              </w:rPr>
            </w:pPr>
            <w:r w:rsidRPr="00EC2382">
              <w:rPr>
                <w:rFonts w:asciiTheme="minorHAnsi" w:hAnsiTheme="minorHAnsi" w:cstheme="minorHAnsi"/>
                <w:spacing w:val="-7"/>
              </w:rPr>
              <w:t xml:space="preserve">A patient using a U-500 insulin pen showed a pharmacist how he turned the dose knob on the pen to “15” to deliver each prescribed dose of 75 units. He had previously used a U-100 syringe to measure each dose of U-500 insulin, stopping at the “15 units” marking on the syringe. But the U-500 pen delivers the actual dose dialed. </w:t>
            </w:r>
          </w:p>
        </w:tc>
        <w:tc>
          <w:tcPr>
            <w:tcW w:w="3870" w:type="dxa"/>
            <w:tcBorders>
              <w:top w:val="single" w:sz="4" w:space="0" w:color="FF0000"/>
              <w:left w:val="single" w:sz="4" w:space="0" w:color="FF0000"/>
              <w:bottom w:val="single" w:sz="4" w:space="0" w:color="FF0000"/>
              <w:right w:val="single" w:sz="4" w:space="0" w:color="FF0000"/>
            </w:tcBorders>
            <w:shd w:val="clear" w:color="auto" w:fill="F0EBD3"/>
          </w:tcPr>
          <w:p w14:paraId="4B02F19C" w14:textId="77777777" w:rsidR="00B64247" w:rsidRPr="00EC2382" w:rsidRDefault="00B64247" w:rsidP="00FC7ECB">
            <w:pPr>
              <w:pStyle w:val="AGENDA-body"/>
              <w:tabs>
                <w:tab w:val="clear" w:pos="5735"/>
                <w:tab w:val="clear" w:pos="7906"/>
                <w:tab w:val="clear" w:pos="10080"/>
              </w:tabs>
              <w:rPr>
                <w:rFonts w:asciiTheme="minorHAnsi" w:hAnsiTheme="minorHAnsi" w:cstheme="minorHAnsi"/>
              </w:rPr>
            </w:pPr>
            <w:r w:rsidRPr="00EC2382">
              <w:rPr>
                <w:rFonts w:asciiTheme="minorHAnsi" w:hAnsiTheme="minorHAnsi" w:cstheme="minorHAnsi"/>
                <w:spacing w:val="-7"/>
              </w:rPr>
              <w:t xml:space="preserve">Hospital staff should use U-500 insulin pens, or U-500 insulin syringes and vials, when measuring and administering U-500 insulin. For patients, perform a medication history on admission to determine whether they are using a U-500 insulin pen at home, or a vial and syringe, and tailor the education to the devices being used. </w:t>
            </w:r>
            <w:r w:rsidRPr="00EC2382">
              <w:rPr>
                <w:rFonts w:asciiTheme="minorHAnsi" w:hAnsiTheme="minorHAnsi" w:cstheme="minorHAnsi"/>
              </w:rPr>
              <w:t xml:space="preserve">  </w:t>
            </w:r>
          </w:p>
        </w:tc>
        <w:tc>
          <w:tcPr>
            <w:tcW w:w="2970" w:type="dxa"/>
            <w:tcBorders>
              <w:top w:val="single" w:sz="4" w:space="0" w:color="FF0000"/>
              <w:left w:val="single" w:sz="4" w:space="0" w:color="FF0000"/>
              <w:bottom w:val="single" w:sz="4" w:space="0" w:color="FF0000"/>
              <w:right w:val="single" w:sz="4" w:space="0" w:color="FF0000"/>
            </w:tcBorders>
          </w:tcPr>
          <w:p w14:paraId="4AFBCB08" w14:textId="77777777" w:rsidR="00B64247" w:rsidRPr="00EC2382" w:rsidRDefault="00B64247" w:rsidP="008C5601">
            <w:pPr>
              <w:pStyle w:val="AC-table-body"/>
              <w:tabs>
                <w:tab w:val="clear" w:pos="5735"/>
                <w:tab w:val="clear" w:pos="7906"/>
                <w:tab w:val="clear" w:pos="10080"/>
              </w:tabs>
              <w:rPr>
                <w:rFonts w:asciiTheme="minorHAnsi" w:hAnsiTheme="minorHAnsi" w:cstheme="minorHAnsi"/>
              </w:rPr>
            </w:pPr>
          </w:p>
        </w:tc>
        <w:tc>
          <w:tcPr>
            <w:tcW w:w="2610" w:type="dxa"/>
            <w:tcBorders>
              <w:top w:val="single" w:sz="4" w:space="0" w:color="FF0000"/>
              <w:left w:val="single" w:sz="4" w:space="0" w:color="FF0000"/>
              <w:bottom w:val="single" w:sz="4" w:space="0" w:color="FF0000"/>
              <w:right w:val="single" w:sz="4" w:space="0" w:color="FF0000"/>
            </w:tcBorders>
          </w:tcPr>
          <w:p w14:paraId="38A8D82F" w14:textId="77777777" w:rsidR="00B64247" w:rsidRPr="00EC2382" w:rsidRDefault="00B64247" w:rsidP="008C5601">
            <w:pPr>
              <w:pStyle w:val="AC-table-body"/>
              <w:tabs>
                <w:tab w:val="clear" w:pos="5735"/>
                <w:tab w:val="clear" w:pos="7906"/>
                <w:tab w:val="clear" w:pos="10080"/>
              </w:tabs>
              <w:rPr>
                <w:rFonts w:asciiTheme="minorHAnsi" w:hAnsiTheme="minorHAnsi" w:cstheme="minorHAnsi"/>
              </w:rPr>
            </w:pPr>
          </w:p>
        </w:tc>
        <w:tc>
          <w:tcPr>
            <w:tcW w:w="1206" w:type="dxa"/>
            <w:tcBorders>
              <w:top w:val="single" w:sz="4" w:space="0" w:color="FF0000"/>
              <w:left w:val="single" w:sz="4" w:space="0" w:color="FF0000"/>
              <w:bottom w:val="single" w:sz="4" w:space="0" w:color="FF0000"/>
              <w:right w:val="single" w:sz="4" w:space="0" w:color="FF0000"/>
            </w:tcBorders>
          </w:tcPr>
          <w:p w14:paraId="407A5A97" w14:textId="77777777" w:rsidR="00B64247" w:rsidRPr="00EC2382" w:rsidRDefault="00B64247" w:rsidP="008C5601">
            <w:pPr>
              <w:pStyle w:val="AC-table-body"/>
              <w:tabs>
                <w:tab w:val="clear" w:pos="5735"/>
                <w:tab w:val="clear" w:pos="7906"/>
                <w:tab w:val="clear" w:pos="10080"/>
              </w:tabs>
              <w:rPr>
                <w:rFonts w:asciiTheme="minorHAnsi" w:hAnsiTheme="minorHAnsi" w:cstheme="minorHAnsi"/>
              </w:rPr>
            </w:pPr>
          </w:p>
        </w:tc>
      </w:tr>
      <w:tr w:rsidR="00284E42" w:rsidRPr="00EC2382" w14:paraId="57C825E2" w14:textId="77777777" w:rsidTr="008C5601">
        <w:trPr>
          <w:jc w:val="center"/>
        </w:trPr>
        <w:tc>
          <w:tcPr>
            <w:tcW w:w="14688" w:type="dxa"/>
            <w:gridSpan w:val="6"/>
            <w:tcBorders>
              <w:top w:val="single" w:sz="4" w:space="0" w:color="FF0000"/>
              <w:left w:val="single" w:sz="4" w:space="0" w:color="FF0000"/>
              <w:bottom w:val="single" w:sz="4" w:space="0" w:color="FF0000"/>
              <w:right w:val="single" w:sz="4" w:space="0" w:color="FF0000"/>
            </w:tcBorders>
            <w:shd w:val="clear" w:color="auto" w:fill="EACB8B"/>
          </w:tcPr>
          <w:p w14:paraId="568F6FFD" w14:textId="77777777" w:rsidR="00284E42" w:rsidRPr="00EC2382" w:rsidRDefault="00284E42" w:rsidP="00FC7ECB">
            <w:pPr>
              <w:pStyle w:val="AGENDA-table-titles"/>
              <w:tabs>
                <w:tab w:val="clear" w:pos="5735"/>
                <w:tab w:val="clear" w:pos="7906"/>
                <w:tab w:val="clear" w:pos="10080"/>
              </w:tabs>
              <w:rPr>
                <w:rFonts w:asciiTheme="minorHAnsi" w:hAnsiTheme="minorHAnsi" w:cstheme="minorHAnsi"/>
                <w:sz w:val="20"/>
              </w:rPr>
            </w:pPr>
            <w:r w:rsidRPr="00EC2382">
              <w:rPr>
                <w:rFonts w:asciiTheme="minorHAnsi" w:hAnsiTheme="minorHAnsi" w:cstheme="minorHAnsi"/>
                <w:sz w:val="20"/>
              </w:rPr>
              <w:t>Differentiating insulin types by touch and separate storage</w:t>
            </w:r>
          </w:p>
        </w:tc>
      </w:tr>
      <w:tr w:rsidR="00284E42" w:rsidRPr="00EC2382" w14:paraId="58206656" w14:textId="77777777" w:rsidTr="00EE4F9F">
        <w:trPr>
          <w:jc w:val="center"/>
        </w:trPr>
        <w:tc>
          <w:tcPr>
            <w:tcW w:w="612" w:type="dxa"/>
            <w:tcBorders>
              <w:top w:val="single" w:sz="4" w:space="0" w:color="FF0000"/>
              <w:left w:val="single" w:sz="4" w:space="0" w:color="FF0000"/>
              <w:bottom w:val="single" w:sz="4" w:space="0" w:color="FF0000"/>
              <w:right w:val="single" w:sz="4" w:space="0" w:color="FF0000"/>
            </w:tcBorders>
            <w:shd w:val="clear" w:color="auto" w:fill="F0EBD3"/>
          </w:tcPr>
          <w:p w14:paraId="34623B4D" w14:textId="77777777" w:rsidR="00284E42" w:rsidRPr="00EC2382" w:rsidRDefault="00284E42" w:rsidP="000E5CFA">
            <w:pPr>
              <w:pStyle w:val="AGENDA-body"/>
              <w:rPr>
                <w:rFonts w:asciiTheme="minorHAnsi" w:hAnsiTheme="minorHAnsi" w:cstheme="minorHAnsi"/>
              </w:rPr>
            </w:pPr>
            <w:r w:rsidRPr="00EC2382">
              <w:rPr>
                <w:rFonts w:asciiTheme="minorHAnsi" w:hAnsiTheme="minorHAnsi" w:cstheme="minorHAnsi"/>
              </w:rPr>
              <w:t xml:space="preserve">(21) </w:t>
            </w:r>
          </w:p>
          <w:p w14:paraId="3789B78A" w14:textId="77777777" w:rsidR="00284E42" w:rsidRPr="00EC2382" w:rsidRDefault="00284E42" w:rsidP="000E5CFA">
            <w:pPr>
              <w:pStyle w:val="AGENDA-body"/>
              <w:tabs>
                <w:tab w:val="clear" w:pos="5735"/>
                <w:tab w:val="clear" w:pos="7906"/>
                <w:tab w:val="clear" w:pos="10080"/>
              </w:tabs>
              <w:rPr>
                <w:rFonts w:asciiTheme="minorHAnsi" w:hAnsiTheme="minorHAnsi" w:cstheme="minorHAnsi"/>
              </w:rPr>
            </w:pPr>
            <w:r w:rsidRPr="00EC2382">
              <w:rPr>
                <w:rFonts w:asciiTheme="minorHAnsi" w:hAnsiTheme="minorHAnsi" w:cstheme="minorHAnsi"/>
                <w:noProof/>
                <w:lang w:bidi="ar-SA"/>
              </w:rPr>
              <w:drawing>
                <wp:inline distT="0" distB="0" distL="0" distR="0" wp14:anchorId="7B7DB7DE" wp14:editId="2103B6C9">
                  <wp:extent cx="152387" cy="12191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 safety icon-alert.png"/>
                          <pic:cNvPicPr/>
                        </pic:nvPicPr>
                        <pic:blipFill>
                          <a:blip r:embed="rId10">
                            <a:extLst>
                              <a:ext uri="{28A0092B-C50C-407E-A947-70E740481C1C}">
                                <a14:useLocalDpi xmlns:a14="http://schemas.microsoft.com/office/drawing/2010/main" val="0"/>
                              </a:ext>
                            </a:extLst>
                          </a:blip>
                          <a:stretch>
                            <a:fillRect/>
                          </a:stretch>
                        </pic:blipFill>
                        <pic:spPr>
                          <a:xfrm>
                            <a:off x="0" y="0"/>
                            <a:ext cx="152387" cy="121910"/>
                          </a:xfrm>
                          <a:prstGeom prst="rect">
                            <a:avLst/>
                          </a:prstGeom>
                        </pic:spPr>
                      </pic:pic>
                    </a:graphicData>
                  </a:graphic>
                </wp:inline>
              </w:drawing>
            </w:r>
          </w:p>
        </w:tc>
        <w:tc>
          <w:tcPr>
            <w:tcW w:w="3420" w:type="dxa"/>
            <w:tcBorders>
              <w:top w:val="single" w:sz="4" w:space="0" w:color="FF0000"/>
              <w:left w:val="single" w:sz="4" w:space="0" w:color="FF0000"/>
              <w:bottom w:val="single" w:sz="4" w:space="0" w:color="FF0000"/>
              <w:right w:val="single" w:sz="4" w:space="0" w:color="FF0000"/>
            </w:tcBorders>
            <w:shd w:val="clear" w:color="auto" w:fill="FFF3D6"/>
          </w:tcPr>
          <w:p w14:paraId="3952F64F" w14:textId="77777777" w:rsidR="00F409DB" w:rsidRPr="00EC2382" w:rsidRDefault="00284E42" w:rsidP="00EC2382">
            <w:pPr>
              <w:pStyle w:val="AGENDA-body"/>
              <w:tabs>
                <w:tab w:val="clear" w:pos="5735"/>
                <w:tab w:val="clear" w:pos="7906"/>
                <w:tab w:val="clear" w:pos="10080"/>
              </w:tabs>
              <w:rPr>
                <w:rFonts w:asciiTheme="minorHAnsi" w:hAnsiTheme="minorHAnsi" w:cstheme="minorHAnsi"/>
                <w:spacing w:val="-7"/>
              </w:rPr>
            </w:pPr>
            <w:r w:rsidRPr="00EC2382">
              <w:rPr>
                <w:rFonts w:asciiTheme="minorHAnsi" w:hAnsiTheme="minorHAnsi" w:cstheme="minorHAnsi"/>
                <w:spacing w:val="-7"/>
              </w:rPr>
              <w:t xml:space="preserve">A visually impaired woman who uses both rapid-acting and long-acting insulin pens stored them both in the refrigerator. She accidentally administered 50 units of the rapid-acting insulin at night. She woke up at 4 a.m. with a blood glucose value of 50 mg/dL. </w:t>
            </w:r>
          </w:p>
        </w:tc>
        <w:tc>
          <w:tcPr>
            <w:tcW w:w="3870" w:type="dxa"/>
            <w:tcBorders>
              <w:top w:val="single" w:sz="4" w:space="0" w:color="FF0000"/>
              <w:left w:val="single" w:sz="4" w:space="0" w:color="FF0000"/>
              <w:bottom w:val="single" w:sz="4" w:space="0" w:color="FF0000"/>
              <w:right w:val="single" w:sz="4" w:space="0" w:color="FF0000"/>
            </w:tcBorders>
            <w:shd w:val="clear" w:color="auto" w:fill="F0EBD3"/>
          </w:tcPr>
          <w:p w14:paraId="3EC011FC" w14:textId="77777777" w:rsidR="00284E42" w:rsidRPr="00EC2382" w:rsidRDefault="00284E42" w:rsidP="00FC7ECB">
            <w:pPr>
              <w:pStyle w:val="AGENDA-body"/>
              <w:tabs>
                <w:tab w:val="clear" w:pos="5735"/>
                <w:tab w:val="clear" w:pos="7906"/>
                <w:tab w:val="clear" w:pos="10080"/>
              </w:tabs>
              <w:rPr>
                <w:rFonts w:asciiTheme="minorHAnsi" w:hAnsiTheme="minorHAnsi" w:cstheme="minorHAnsi"/>
                <w:spacing w:val="-7"/>
              </w:rPr>
            </w:pPr>
            <w:r w:rsidRPr="00EC2382">
              <w:rPr>
                <w:rFonts w:asciiTheme="minorHAnsi" w:hAnsiTheme="minorHAnsi" w:cstheme="minorHAnsi"/>
                <w:spacing w:val="-7"/>
              </w:rPr>
              <w:t xml:space="preserve">Teach patients ways to differentiate insulin types by touch, such as applying adhesive tape or rubber bands to pens. Avoid storing insulin pens together; advise patients to keep long-acting insulins in the bedroom and rapid-acting insulins in the dining area. </w:t>
            </w:r>
          </w:p>
        </w:tc>
        <w:tc>
          <w:tcPr>
            <w:tcW w:w="2970" w:type="dxa"/>
            <w:tcBorders>
              <w:top w:val="single" w:sz="4" w:space="0" w:color="FF0000"/>
              <w:left w:val="single" w:sz="4" w:space="0" w:color="FF0000"/>
              <w:bottom w:val="single" w:sz="4" w:space="0" w:color="FF0000"/>
              <w:right w:val="single" w:sz="4" w:space="0" w:color="FF0000"/>
            </w:tcBorders>
          </w:tcPr>
          <w:p w14:paraId="697ECFDA" w14:textId="77777777" w:rsidR="00284E42" w:rsidRPr="00EC2382" w:rsidRDefault="00284E42" w:rsidP="008C5601">
            <w:pPr>
              <w:pStyle w:val="AC-table-body"/>
              <w:tabs>
                <w:tab w:val="clear" w:pos="5735"/>
                <w:tab w:val="clear" w:pos="7906"/>
                <w:tab w:val="clear" w:pos="10080"/>
              </w:tabs>
              <w:rPr>
                <w:rFonts w:asciiTheme="minorHAnsi" w:hAnsiTheme="minorHAnsi" w:cstheme="minorHAnsi"/>
              </w:rPr>
            </w:pPr>
          </w:p>
        </w:tc>
        <w:tc>
          <w:tcPr>
            <w:tcW w:w="2610" w:type="dxa"/>
            <w:tcBorders>
              <w:top w:val="single" w:sz="4" w:space="0" w:color="FF0000"/>
              <w:left w:val="single" w:sz="4" w:space="0" w:color="FF0000"/>
              <w:bottom w:val="single" w:sz="4" w:space="0" w:color="FF0000"/>
              <w:right w:val="single" w:sz="4" w:space="0" w:color="FF0000"/>
            </w:tcBorders>
          </w:tcPr>
          <w:p w14:paraId="40F8E032" w14:textId="77777777" w:rsidR="00284E42" w:rsidRPr="00EC2382" w:rsidRDefault="00284E42" w:rsidP="008C5601">
            <w:pPr>
              <w:pStyle w:val="AC-table-body"/>
              <w:tabs>
                <w:tab w:val="clear" w:pos="5735"/>
                <w:tab w:val="clear" w:pos="7906"/>
                <w:tab w:val="clear" w:pos="10080"/>
              </w:tabs>
              <w:rPr>
                <w:rFonts w:asciiTheme="minorHAnsi" w:hAnsiTheme="minorHAnsi" w:cstheme="minorHAnsi"/>
              </w:rPr>
            </w:pPr>
          </w:p>
        </w:tc>
        <w:tc>
          <w:tcPr>
            <w:tcW w:w="1206" w:type="dxa"/>
            <w:tcBorders>
              <w:top w:val="single" w:sz="4" w:space="0" w:color="FF0000"/>
              <w:left w:val="single" w:sz="4" w:space="0" w:color="FF0000"/>
              <w:bottom w:val="single" w:sz="4" w:space="0" w:color="FF0000"/>
              <w:right w:val="single" w:sz="4" w:space="0" w:color="FF0000"/>
            </w:tcBorders>
          </w:tcPr>
          <w:p w14:paraId="26BDBDA0" w14:textId="77777777" w:rsidR="00284E42" w:rsidRPr="00EC2382" w:rsidRDefault="00284E42" w:rsidP="008C5601">
            <w:pPr>
              <w:pStyle w:val="AC-table-body"/>
              <w:tabs>
                <w:tab w:val="clear" w:pos="5735"/>
                <w:tab w:val="clear" w:pos="7906"/>
                <w:tab w:val="clear" w:pos="10080"/>
              </w:tabs>
              <w:rPr>
                <w:rFonts w:asciiTheme="minorHAnsi" w:hAnsiTheme="minorHAnsi" w:cstheme="minorHAnsi"/>
              </w:rPr>
            </w:pPr>
          </w:p>
        </w:tc>
      </w:tr>
      <w:tr w:rsidR="005B3723" w:rsidRPr="00EC2382" w14:paraId="7BD11AD3" w14:textId="77777777" w:rsidTr="008C5601">
        <w:trPr>
          <w:jc w:val="center"/>
        </w:trPr>
        <w:tc>
          <w:tcPr>
            <w:tcW w:w="14688" w:type="dxa"/>
            <w:gridSpan w:val="6"/>
            <w:tcBorders>
              <w:top w:val="single" w:sz="4" w:space="0" w:color="FF0000"/>
              <w:left w:val="single" w:sz="4" w:space="0" w:color="FF0000"/>
              <w:bottom w:val="single" w:sz="4" w:space="0" w:color="FF0000"/>
              <w:right w:val="single" w:sz="4" w:space="0" w:color="FF0000"/>
            </w:tcBorders>
            <w:shd w:val="clear" w:color="auto" w:fill="EACB8B"/>
          </w:tcPr>
          <w:p w14:paraId="6E02C875" w14:textId="77777777" w:rsidR="005B3723" w:rsidRPr="00EC2382" w:rsidRDefault="005B3723" w:rsidP="00FC7ECB">
            <w:pPr>
              <w:pStyle w:val="AGENDA-table-titles"/>
              <w:tabs>
                <w:tab w:val="clear" w:pos="5735"/>
                <w:tab w:val="clear" w:pos="7906"/>
                <w:tab w:val="clear" w:pos="10080"/>
              </w:tabs>
              <w:rPr>
                <w:rFonts w:asciiTheme="minorHAnsi" w:hAnsiTheme="minorHAnsi" w:cstheme="minorHAnsi"/>
                <w:sz w:val="20"/>
              </w:rPr>
            </w:pPr>
            <w:r w:rsidRPr="00EC2382">
              <w:rPr>
                <w:rFonts w:asciiTheme="minorHAnsi" w:hAnsiTheme="minorHAnsi" w:cstheme="minorHAnsi"/>
                <w:sz w:val="20"/>
              </w:rPr>
              <w:t>Compounding error with PROLASTIN-C (alpha1-proteinase inhibitor [a1-PI])</w:t>
            </w:r>
          </w:p>
        </w:tc>
      </w:tr>
      <w:tr w:rsidR="005B3723" w:rsidRPr="00EC2382" w14:paraId="271ABE93" w14:textId="77777777" w:rsidTr="00EE4F9F">
        <w:trPr>
          <w:jc w:val="center"/>
        </w:trPr>
        <w:tc>
          <w:tcPr>
            <w:tcW w:w="612" w:type="dxa"/>
            <w:tcBorders>
              <w:top w:val="single" w:sz="4" w:space="0" w:color="FF0000"/>
              <w:left w:val="single" w:sz="4" w:space="0" w:color="FF0000"/>
              <w:bottom w:val="single" w:sz="4" w:space="0" w:color="FF0000"/>
              <w:right w:val="single" w:sz="4" w:space="0" w:color="FF0000"/>
            </w:tcBorders>
            <w:shd w:val="clear" w:color="auto" w:fill="F0EBD3"/>
          </w:tcPr>
          <w:p w14:paraId="1FFF0744" w14:textId="77777777" w:rsidR="005B3723" w:rsidRPr="00EC2382" w:rsidRDefault="005B3723" w:rsidP="00183A13">
            <w:pPr>
              <w:pStyle w:val="AGENDA-body"/>
              <w:rPr>
                <w:rFonts w:asciiTheme="minorHAnsi" w:hAnsiTheme="minorHAnsi" w:cstheme="minorHAnsi"/>
              </w:rPr>
            </w:pPr>
            <w:r w:rsidRPr="00EC2382">
              <w:rPr>
                <w:rFonts w:asciiTheme="minorHAnsi" w:hAnsiTheme="minorHAnsi" w:cstheme="minorHAnsi"/>
              </w:rPr>
              <w:t xml:space="preserve">(22) </w:t>
            </w:r>
          </w:p>
        </w:tc>
        <w:tc>
          <w:tcPr>
            <w:tcW w:w="3420" w:type="dxa"/>
            <w:tcBorders>
              <w:top w:val="single" w:sz="4" w:space="0" w:color="FF0000"/>
              <w:left w:val="single" w:sz="4" w:space="0" w:color="FF0000"/>
              <w:bottom w:val="single" w:sz="4" w:space="0" w:color="FF0000"/>
              <w:right w:val="single" w:sz="4" w:space="0" w:color="FF0000"/>
            </w:tcBorders>
            <w:shd w:val="clear" w:color="auto" w:fill="FFF3D6"/>
          </w:tcPr>
          <w:p w14:paraId="15C683DD" w14:textId="77777777" w:rsidR="005B3723" w:rsidRPr="00EC2382" w:rsidRDefault="005B3723" w:rsidP="00FC7ECB">
            <w:pPr>
              <w:pStyle w:val="AGENDA-body"/>
              <w:tabs>
                <w:tab w:val="clear" w:pos="5735"/>
                <w:tab w:val="clear" w:pos="7906"/>
                <w:tab w:val="clear" w:pos="10080"/>
              </w:tabs>
              <w:rPr>
                <w:rFonts w:asciiTheme="minorHAnsi" w:hAnsiTheme="minorHAnsi" w:cstheme="minorHAnsi"/>
                <w:spacing w:val="-8"/>
              </w:rPr>
            </w:pPr>
            <w:r w:rsidRPr="00EC2382">
              <w:rPr>
                <w:rFonts w:asciiTheme="minorHAnsi" w:hAnsiTheme="minorHAnsi" w:cstheme="minorHAnsi"/>
                <w:spacing w:val="-8"/>
              </w:rPr>
              <w:t xml:space="preserve">A patient prescribed IV Prolastin-C 7,000 mg received 8,379 mg due to a com-pounding error. Although the package insert indicates that each vial contains 1,000 mg, the actual amount in each vial was 1,197 mg. Seven vials were used for the dose, along with 20 mL of diluent for each vial (140 mL), when only 6 vials (7,182 mg) were needed. </w:t>
            </w:r>
          </w:p>
          <w:p w14:paraId="7BBD65AF" w14:textId="77777777" w:rsidR="00F409DB" w:rsidRPr="00EC2382" w:rsidRDefault="00F409DB" w:rsidP="00FC7ECB">
            <w:pPr>
              <w:pStyle w:val="AGENDA-body"/>
              <w:tabs>
                <w:tab w:val="clear" w:pos="5735"/>
                <w:tab w:val="clear" w:pos="7906"/>
                <w:tab w:val="clear" w:pos="10080"/>
              </w:tabs>
              <w:rPr>
                <w:rFonts w:asciiTheme="minorHAnsi" w:hAnsiTheme="minorHAnsi" w:cstheme="minorHAnsi"/>
                <w:spacing w:val="-8"/>
              </w:rPr>
            </w:pPr>
          </w:p>
        </w:tc>
        <w:tc>
          <w:tcPr>
            <w:tcW w:w="3870" w:type="dxa"/>
            <w:tcBorders>
              <w:top w:val="single" w:sz="4" w:space="0" w:color="FF0000"/>
              <w:left w:val="single" w:sz="4" w:space="0" w:color="FF0000"/>
              <w:bottom w:val="single" w:sz="4" w:space="0" w:color="FF0000"/>
              <w:right w:val="single" w:sz="4" w:space="0" w:color="FF0000"/>
            </w:tcBorders>
            <w:shd w:val="clear" w:color="auto" w:fill="F0EBD3"/>
          </w:tcPr>
          <w:p w14:paraId="2BF2F7D1" w14:textId="77777777" w:rsidR="005B3723" w:rsidRPr="00EC2382" w:rsidRDefault="005B3723" w:rsidP="00FC7ECB">
            <w:pPr>
              <w:pStyle w:val="AGENDA-body"/>
              <w:tabs>
                <w:tab w:val="clear" w:pos="5735"/>
                <w:tab w:val="clear" w:pos="7906"/>
                <w:tab w:val="clear" w:pos="10080"/>
              </w:tabs>
              <w:rPr>
                <w:rFonts w:asciiTheme="minorHAnsi" w:hAnsiTheme="minorHAnsi" w:cstheme="minorHAnsi"/>
                <w:spacing w:val="-8"/>
              </w:rPr>
            </w:pPr>
            <w:r w:rsidRPr="00EC2382">
              <w:rPr>
                <w:rFonts w:asciiTheme="minorHAnsi" w:hAnsiTheme="minorHAnsi" w:cstheme="minorHAnsi"/>
                <w:spacing w:val="-8"/>
              </w:rPr>
              <w:t>Before compounding, require pharmacy staff to check the actual amount of the active ingredients in any plasma-derived medication and calculate the volume needed. Develop clinical guidelines, order sets, and procedures to guide appropriate use. Only those with knowledge of plasma-derived products should prescribe these drugs.</w:t>
            </w:r>
          </w:p>
        </w:tc>
        <w:tc>
          <w:tcPr>
            <w:tcW w:w="2970" w:type="dxa"/>
            <w:tcBorders>
              <w:top w:val="single" w:sz="4" w:space="0" w:color="FF0000"/>
              <w:left w:val="single" w:sz="4" w:space="0" w:color="FF0000"/>
              <w:bottom w:val="single" w:sz="4" w:space="0" w:color="FF0000"/>
              <w:right w:val="single" w:sz="4" w:space="0" w:color="FF0000"/>
            </w:tcBorders>
          </w:tcPr>
          <w:p w14:paraId="2319CF8A" w14:textId="77777777" w:rsidR="005B3723" w:rsidRPr="00EC2382" w:rsidRDefault="005B3723" w:rsidP="008C5601">
            <w:pPr>
              <w:pStyle w:val="AC-table-body"/>
              <w:tabs>
                <w:tab w:val="clear" w:pos="5735"/>
                <w:tab w:val="clear" w:pos="7906"/>
                <w:tab w:val="clear" w:pos="10080"/>
              </w:tabs>
              <w:rPr>
                <w:rFonts w:asciiTheme="minorHAnsi" w:hAnsiTheme="minorHAnsi" w:cstheme="minorHAnsi"/>
              </w:rPr>
            </w:pPr>
          </w:p>
        </w:tc>
        <w:tc>
          <w:tcPr>
            <w:tcW w:w="2610" w:type="dxa"/>
            <w:tcBorders>
              <w:top w:val="single" w:sz="4" w:space="0" w:color="FF0000"/>
              <w:left w:val="single" w:sz="4" w:space="0" w:color="FF0000"/>
              <w:bottom w:val="single" w:sz="4" w:space="0" w:color="FF0000"/>
              <w:right w:val="single" w:sz="4" w:space="0" w:color="FF0000"/>
            </w:tcBorders>
          </w:tcPr>
          <w:p w14:paraId="303BA6F8" w14:textId="77777777" w:rsidR="005B3723" w:rsidRPr="00EC2382" w:rsidRDefault="005B3723" w:rsidP="008C5601">
            <w:pPr>
              <w:pStyle w:val="AC-table-body"/>
              <w:tabs>
                <w:tab w:val="clear" w:pos="5735"/>
                <w:tab w:val="clear" w:pos="7906"/>
                <w:tab w:val="clear" w:pos="10080"/>
              </w:tabs>
              <w:rPr>
                <w:rFonts w:asciiTheme="minorHAnsi" w:hAnsiTheme="minorHAnsi" w:cstheme="minorHAnsi"/>
              </w:rPr>
            </w:pPr>
          </w:p>
        </w:tc>
        <w:tc>
          <w:tcPr>
            <w:tcW w:w="1206" w:type="dxa"/>
            <w:tcBorders>
              <w:top w:val="single" w:sz="4" w:space="0" w:color="FF0000"/>
              <w:left w:val="single" w:sz="4" w:space="0" w:color="FF0000"/>
              <w:bottom w:val="single" w:sz="4" w:space="0" w:color="FF0000"/>
              <w:right w:val="single" w:sz="4" w:space="0" w:color="FF0000"/>
            </w:tcBorders>
          </w:tcPr>
          <w:p w14:paraId="7B8136A8" w14:textId="77777777" w:rsidR="005B3723" w:rsidRPr="00EC2382" w:rsidRDefault="005B3723" w:rsidP="008C5601">
            <w:pPr>
              <w:pStyle w:val="AC-table-body"/>
              <w:tabs>
                <w:tab w:val="clear" w:pos="5735"/>
                <w:tab w:val="clear" w:pos="7906"/>
                <w:tab w:val="clear" w:pos="10080"/>
              </w:tabs>
              <w:rPr>
                <w:rFonts w:asciiTheme="minorHAnsi" w:hAnsiTheme="minorHAnsi" w:cstheme="minorHAnsi"/>
              </w:rPr>
            </w:pPr>
          </w:p>
        </w:tc>
      </w:tr>
      <w:tr w:rsidR="005B3723" w:rsidRPr="00EC2382" w14:paraId="53374334" w14:textId="77777777" w:rsidTr="006E3DFD">
        <w:trPr>
          <w:jc w:val="center"/>
        </w:trPr>
        <w:tc>
          <w:tcPr>
            <w:tcW w:w="14688" w:type="dxa"/>
            <w:gridSpan w:val="6"/>
            <w:tcBorders>
              <w:top w:val="single" w:sz="4" w:space="0" w:color="FF0000"/>
              <w:left w:val="single" w:sz="4" w:space="0" w:color="FF0000"/>
              <w:bottom w:val="single" w:sz="4" w:space="0" w:color="FF0000"/>
              <w:right w:val="single" w:sz="4" w:space="0" w:color="FF0000"/>
            </w:tcBorders>
            <w:shd w:val="clear" w:color="auto" w:fill="EACB8B"/>
          </w:tcPr>
          <w:p w14:paraId="480DC479" w14:textId="77777777" w:rsidR="005B3723" w:rsidRPr="00EC2382" w:rsidRDefault="005B3723" w:rsidP="00FC7ECB">
            <w:pPr>
              <w:pStyle w:val="AGENDA-table-titles"/>
              <w:tabs>
                <w:tab w:val="clear" w:pos="5735"/>
                <w:tab w:val="clear" w:pos="7906"/>
                <w:tab w:val="clear" w:pos="10080"/>
              </w:tabs>
              <w:rPr>
                <w:rFonts w:asciiTheme="minorHAnsi" w:hAnsiTheme="minorHAnsi" w:cstheme="minorHAnsi"/>
                <w:sz w:val="20"/>
              </w:rPr>
            </w:pPr>
            <w:r w:rsidRPr="00EC2382">
              <w:rPr>
                <w:rFonts w:asciiTheme="minorHAnsi" w:hAnsiTheme="minorHAnsi" w:cstheme="minorHAnsi"/>
                <w:sz w:val="20"/>
              </w:rPr>
              <w:t>Confusion between IV RITUXAN (riTUXimab) and subcutaneous RITUXAN HYCELA (riTUXimab and hyaluronidase)</w:t>
            </w:r>
          </w:p>
        </w:tc>
      </w:tr>
      <w:tr w:rsidR="005B3723" w:rsidRPr="00EC2382" w14:paraId="20286483" w14:textId="77777777" w:rsidTr="00EE4F9F">
        <w:trPr>
          <w:jc w:val="center"/>
        </w:trPr>
        <w:tc>
          <w:tcPr>
            <w:tcW w:w="612" w:type="dxa"/>
            <w:tcBorders>
              <w:top w:val="single" w:sz="4" w:space="0" w:color="FF0000"/>
              <w:left w:val="single" w:sz="4" w:space="0" w:color="FF0000"/>
              <w:bottom w:val="single" w:sz="4" w:space="0" w:color="FF0000"/>
              <w:right w:val="single" w:sz="4" w:space="0" w:color="FF0000"/>
            </w:tcBorders>
            <w:shd w:val="clear" w:color="auto" w:fill="F0EBD3"/>
          </w:tcPr>
          <w:p w14:paraId="0A19F54A" w14:textId="77777777" w:rsidR="005B3723" w:rsidRPr="00EC2382" w:rsidRDefault="005B3723" w:rsidP="000E5CFA">
            <w:pPr>
              <w:pStyle w:val="AGENDA-body"/>
              <w:rPr>
                <w:rFonts w:asciiTheme="minorHAnsi" w:hAnsiTheme="minorHAnsi" w:cstheme="minorHAnsi"/>
              </w:rPr>
            </w:pPr>
            <w:r w:rsidRPr="00EC2382">
              <w:rPr>
                <w:rFonts w:asciiTheme="minorHAnsi" w:hAnsiTheme="minorHAnsi" w:cstheme="minorHAnsi"/>
              </w:rPr>
              <w:t xml:space="preserve">(20) </w:t>
            </w:r>
          </w:p>
          <w:p w14:paraId="20E3D1BB" w14:textId="77777777" w:rsidR="005B3723" w:rsidRPr="00EC2382" w:rsidRDefault="005B3723" w:rsidP="000E5CFA">
            <w:pPr>
              <w:pStyle w:val="AGENDA-body"/>
              <w:tabs>
                <w:tab w:val="clear" w:pos="5735"/>
                <w:tab w:val="clear" w:pos="7906"/>
                <w:tab w:val="clear" w:pos="10080"/>
              </w:tabs>
              <w:rPr>
                <w:rFonts w:asciiTheme="minorHAnsi" w:hAnsiTheme="minorHAnsi" w:cstheme="minorHAnsi"/>
              </w:rPr>
            </w:pPr>
            <w:r w:rsidRPr="00EC2382">
              <w:rPr>
                <w:rFonts w:asciiTheme="minorHAnsi" w:hAnsiTheme="minorHAnsi" w:cstheme="minorHAnsi"/>
                <w:noProof/>
                <w:lang w:bidi="ar-SA"/>
              </w:rPr>
              <w:drawing>
                <wp:inline distT="0" distB="0" distL="0" distR="0" wp14:anchorId="26880FAB" wp14:editId="4CCDD402">
                  <wp:extent cx="152387" cy="12191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 safety icon-alert.png"/>
                          <pic:cNvPicPr/>
                        </pic:nvPicPr>
                        <pic:blipFill>
                          <a:blip r:embed="rId10">
                            <a:extLst>
                              <a:ext uri="{28A0092B-C50C-407E-A947-70E740481C1C}">
                                <a14:useLocalDpi xmlns:a14="http://schemas.microsoft.com/office/drawing/2010/main" val="0"/>
                              </a:ext>
                            </a:extLst>
                          </a:blip>
                          <a:stretch>
                            <a:fillRect/>
                          </a:stretch>
                        </pic:blipFill>
                        <pic:spPr>
                          <a:xfrm>
                            <a:off x="0" y="0"/>
                            <a:ext cx="152387" cy="121910"/>
                          </a:xfrm>
                          <a:prstGeom prst="rect">
                            <a:avLst/>
                          </a:prstGeom>
                        </pic:spPr>
                      </pic:pic>
                    </a:graphicData>
                  </a:graphic>
                </wp:inline>
              </w:drawing>
            </w:r>
          </w:p>
        </w:tc>
        <w:tc>
          <w:tcPr>
            <w:tcW w:w="3420" w:type="dxa"/>
            <w:tcBorders>
              <w:top w:val="single" w:sz="4" w:space="0" w:color="FF0000"/>
              <w:left w:val="single" w:sz="4" w:space="0" w:color="FF0000"/>
              <w:bottom w:val="single" w:sz="4" w:space="0" w:color="FF0000"/>
              <w:right w:val="single" w:sz="4" w:space="0" w:color="FF0000"/>
            </w:tcBorders>
            <w:shd w:val="clear" w:color="auto" w:fill="FFF3D6"/>
          </w:tcPr>
          <w:p w14:paraId="5EF1AF19" w14:textId="77777777" w:rsidR="005B3723" w:rsidRPr="00EC2382" w:rsidRDefault="005B3723" w:rsidP="00FC7ECB">
            <w:pPr>
              <w:pStyle w:val="AGENDA-body"/>
              <w:tabs>
                <w:tab w:val="clear" w:pos="5735"/>
                <w:tab w:val="clear" w:pos="7906"/>
                <w:tab w:val="clear" w:pos="10080"/>
              </w:tabs>
              <w:rPr>
                <w:rFonts w:asciiTheme="minorHAnsi" w:hAnsiTheme="minorHAnsi" w:cstheme="minorHAnsi"/>
                <w:spacing w:val="-7"/>
              </w:rPr>
            </w:pPr>
            <w:r w:rsidRPr="00EC2382">
              <w:rPr>
                <w:rFonts w:asciiTheme="minorHAnsi" w:hAnsiTheme="minorHAnsi" w:cstheme="minorHAnsi"/>
                <w:spacing w:val="-8"/>
              </w:rPr>
              <w:t>The hyaluronidase component of Rituxan Hycela allows subcutaneous delivery of ri</w:t>
            </w:r>
            <w:r w:rsidRPr="00EC2382">
              <w:rPr>
                <w:rFonts w:asciiTheme="minorHAnsi" w:hAnsiTheme="minorHAnsi" w:cstheme="minorHAnsi"/>
                <w:b/>
                <w:spacing w:val="-8"/>
              </w:rPr>
              <w:t>TUX</w:t>
            </w:r>
            <w:r w:rsidRPr="00EC2382">
              <w:rPr>
                <w:rFonts w:asciiTheme="minorHAnsi" w:hAnsiTheme="minorHAnsi" w:cstheme="minorHAnsi"/>
                <w:spacing w:val="-8"/>
              </w:rPr>
              <w:t>imab in volumes that might not otherwise be feasible. But the large volume of Rituxan Hycela may cause staff to believe that the drug should be administered intravenously (IV), which may lead to an overdose. Rituxan Hycela has also been mixed up with IV </w:t>
            </w:r>
            <w:r w:rsidRPr="00EC2382">
              <w:rPr>
                <w:rFonts w:asciiTheme="minorHAnsi" w:hAnsiTheme="minorHAnsi" w:cstheme="minorHAnsi"/>
                <w:spacing w:val="-7"/>
              </w:rPr>
              <w:t xml:space="preserve">Rituxan.  </w:t>
            </w:r>
          </w:p>
          <w:p w14:paraId="78D74CD0" w14:textId="77777777" w:rsidR="00F409DB" w:rsidRPr="00EC2382" w:rsidRDefault="00F409DB" w:rsidP="00FC7ECB">
            <w:pPr>
              <w:pStyle w:val="AGENDA-body"/>
              <w:tabs>
                <w:tab w:val="clear" w:pos="5735"/>
                <w:tab w:val="clear" w:pos="7906"/>
                <w:tab w:val="clear" w:pos="10080"/>
              </w:tabs>
              <w:rPr>
                <w:rFonts w:asciiTheme="minorHAnsi" w:hAnsiTheme="minorHAnsi" w:cstheme="minorHAnsi"/>
                <w:spacing w:val="-7"/>
              </w:rPr>
            </w:pPr>
          </w:p>
        </w:tc>
        <w:tc>
          <w:tcPr>
            <w:tcW w:w="3870" w:type="dxa"/>
            <w:tcBorders>
              <w:top w:val="single" w:sz="4" w:space="0" w:color="FF0000"/>
              <w:left w:val="single" w:sz="4" w:space="0" w:color="FF0000"/>
              <w:bottom w:val="single" w:sz="4" w:space="0" w:color="FF0000"/>
              <w:right w:val="single" w:sz="4" w:space="0" w:color="FF0000"/>
            </w:tcBorders>
            <w:shd w:val="clear" w:color="auto" w:fill="F0EBD3"/>
          </w:tcPr>
          <w:p w14:paraId="76AAB5A1" w14:textId="77777777" w:rsidR="005B3723" w:rsidRPr="00EC2382" w:rsidRDefault="005B3723" w:rsidP="00FC7ECB">
            <w:pPr>
              <w:pStyle w:val="AGENDA-body"/>
              <w:tabs>
                <w:tab w:val="clear" w:pos="5735"/>
                <w:tab w:val="clear" w:pos="7906"/>
                <w:tab w:val="clear" w:pos="10080"/>
              </w:tabs>
              <w:rPr>
                <w:rFonts w:asciiTheme="minorHAnsi" w:hAnsiTheme="minorHAnsi" w:cstheme="minorHAnsi"/>
                <w:spacing w:val="-7"/>
              </w:rPr>
            </w:pPr>
            <w:r w:rsidRPr="00EC2382">
              <w:rPr>
                <w:rFonts w:asciiTheme="minorHAnsi" w:hAnsiTheme="minorHAnsi" w:cstheme="minorHAnsi"/>
                <w:spacing w:val="-7"/>
              </w:rPr>
              <w:t>Educate staff about the two formulations and the recommended procedure for administering the large subcutaneous dose of Rituxan Hycela. Store these products in a way that will clearly indicate that they are different formulations. When dispensing Ritux</w:t>
            </w:r>
            <w:bookmarkStart w:id="18" w:name="_GoBack"/>
            <w:bookmarkEnd w:id="18"/>
            <w:r w:rsidRPr="00EC2382">
              <w:rPr>
                <w:rFonts w:asciiTheme="minorHAnsi" w:hAnsiTheme="minorHAnsi" w:cstheme="minorHAnsi"/>
                <w:spacing w:val="-7"/>
              </w:rPr>
              <w:t>an Hycela, include a warning, “For Subcutaneous Use Only.”</w:t>
            </w:r>
          </w:p>
        </w:tc>
        <w:tc>
          <w:tcPr>
            <w:tcW w:w="2970" w:type="dxa"/>
            <w:tcBorders>
              <w:top w:val="single" w:sz="4" w:space="0" w:color="FF0000"/>
              <w:left w:val="single" w:sz="4" w:space="0" w:color="FF0000"/>
              <w:bottom w:val="single" w:sz="4" w:space="0" w:color="FF0000"/>
              <w:right w:val="single" w:sz="4" w:space="0" w:color="FF0000"/>
            </w:tcBorders>
          </w:tcPr>
          <w:p w14:paraId="0E06DB40" w14:textId="77777777" w:rsidR="005B3723" w:rsidRPr="00EC2382" w:rsidRDefault="005B3723" w:rsidP="008C5601">
            <w:pPr>
              <w:pStyle w:val="AC-table-body"/>
              <w:tabs>
                <w:tab w:val="clear" w:pos="5735"/>
                <w:tab w:val="clear" w:pos="7906"/>
                <w:tab w:val="clear" w:pos="10080"/>
              </w:tabs>
              <w:rPr>
                <w:rFonts w:asciiTheme="minorHAnsi" w:hAnsiTheme="minorHAnsi" w:cstheme="minorHAnsi"/>
              </w:rPr>
            </w:pPr>
          </w:p>
        </w:tc>
        <w:tc>
          <w:tcPr>
            <w:tcW w:w="2610" w:type="dxa"/>
            <w:tcBorders>
              <w:top w:val="single" w:sz="4" w:space="0" w:color="FF0000"/>
              <w:left w:val="single" w:sz="4" w:space="0" w:color="FF0000"/>
              <w:bottom w:val="single" w:sz="4" w:space="0" w:color="FF0000"/>
              <w:right w:val="single" w:sz="4" w:space="0" w:color="FF0000"/>
            </w:tcBorders>
          </w:tcPr>
          <w:p w14:paraId="3815E02C" w14:textId="77777777" w:rsidR="005B3723" w:rsidRPr="00EC2382" w:rsidRDefault="005B3723" w:rsidP="008C5601">
            <w:pPr>
              <w:pStyle w:val="AC-table-body"/>
              <w:tabs>
                <w:tab w:val="clear" w:pos="5735"/>
                <w:tab w:val="clear" w:pos="7906"/>
                <w:tab w:val="clear" w:pos="10080"/>
              </w:tabs>
              <w:rPr>
                <w:rFonts w:asciiTheme="minorHAnsi" w:hAnsiTheme="minorHAnsi" w:cstheme="minorHAnsi"/>
              </w:rPr>
            </w:pPr>
          </w:p>
        </w:tc>
        <w:tc>
          <w:tcPr>
            <w:tcW w:w="1206" w:type="dxa"/>
            <w:tcBorders>
              <w:top w:val="single" w:sz="4" w:space="0" w:color="FF0000"/>
              <w:left w:val="single" w:sz="4" w:space="0" w:color="FF0000"/>
              <w:bottom w:val="single" w:sz="4" w:space="0" w:color="FF0000"/>
              <w:right w:val="single" w:sz="4" w:space="0" w:color="FF0000"/>
            </w:tcBorders>
          </w:tcPr>
          <w:p w14:paraId="3A45BB1F" w14:textId="77777777" w:rsidR="005B3723" w:rsidRPr="00EC2382" w:rsidRDefault="005B3723" w:rsidP="008C5601">
            <w:pPr>
              <w:pStyle w:val="AC-table-body"/>
              <w:tabs>
                <w:tab w:val="clear" w:pos="5735"/>
                <w:tab w:val="clear" w:pos="7906"/>
                <w:tab w:val="clear" w:pos="10080"/>
              </w:tabs>
              <w:rPr>
                <w:rFonts w:asciiTheme="minorHAnsi" w:hAnsiTheme="minorHAnsi" w:cstheme="minorHAnsi"/>
              </w:rPr>
            </w:pPr>
          </w:p>
        </w:tc>
      </w:tr>
    </w:tbl>
    <w:p w14:paraId="48A4BDAC" w14:textId="77777777" w:rsidR="00ED7DDF" w:rsidRPr="00EC2382" w:rsidRDefault="00ED7DDF" w:rsidP="00F409DB">
      <w:pPr>
        <w:rPr>
          <w:rFonts w:asciiTheme="minorHAnsi" w:hAnsiTheme="minorHAnsi" w:cstheme="minorHAnsi"/>
          <w:sz w:val="20"/>
        </w:rPr>
      </w:pPr>
    </w:p>
    <w:sectPr w:rsidR="00ED7DDF" w:rsidRPr="00EC2382" w:rsidSect="00930886">
      <w:headerReference w:type="default" r:id="rId11"/>
      <w:footerReference w:type="default" r:id="rId12"/>
      <w:headerReference w:type="first" r:id="rId13"/>
      <w:footerReference w:type="first" r:id="rId14"/>
      <w:pgSz w:w="15840" w:h="12240" w:orient="landscape" w:code="1"/>
      <w:pgMar w:top="1008" w:right="1008" w:bottom="576" w:left="1008" w:header="432" w:footer="0" w:gutter="0"/>
      <w:cols w:space="720"/>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3F4E8" w14:textId="77777777" w:rsidR="002E7FCE" w:rsidRDefault="002E7FCE">
      <w:r>
        <w:separator/>
      </w:r>
    </w:p>
  </w:endnote>
  <w:endnote w:type="continuationSeparator" w:id="0">
    <w:p w14:paraId="70909831" w14:textId="77777777" w:rsidR="002E7FCE" w:rsidRDefault="002E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kzidenz Grotesk BE BoldEx">
    <w:panose1 w:val="00000000000000000000"/>
    <w:charset w:val="00"/>
    <w:family w:val="swiss"/>
    <w:notTrueType/>
    <w:pitch w:val="variable"/>
    <w:sig w:usb0="00000003" w:usb1="00000000" w:usb2="00000000" w:usb3="00000000" w:csb0="00000001" w:csb1="00000000"/>
  </w:font>
  <w:font w:name="Akzidenz Grotesk BE Cn">
    <w:panose1 w:val="00000000000000000000"/>
    <w:charset w:val="00"/>
    <w:family w:val="swiss"/>
    <w:notTrueType/>
    <w:pitch w:val="variable"/>
    <w:sig w:usb0="00000003" w:usb1="00000000" w:usb2="00000000" w:usb3="00000000" w:csb0="00000001" w:csb1="00000000"/>
  </w:font>
  <w:font w:name="Akzidenz Grotesk BE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LT Std 57 Cn">
    <w:panose1 w:val="020B0506020202050204"/>
    <w:charset w:val="00"/>
    <w:family w:val="swiss"/>
    <w:notTrueType/>
    <w:pitch w:val="variable"/>
    <w:sig w:usb0="00000003" w:usb1="00000000" w:usb2="00000000" w:usb3="00000000" w:csb0="00000001" w:csb1="00000000"/>
  </w:font>
  <w:font w:name="Univers LT Std 55">
    <w:panose1 w:val="020B0603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Univers LT Std 45 Light">
    <w:panose1 w:val="020B0403020202020204"/>
    <w:charset w:val="00"/>
    <w:family w:val="swiss"/>
    <w:notTrueType/>
    <w:pitch w:val="variable"/>
    <w:sig w:usb0="00000003" w:usb1="00000000" w:usb2="00000000" w:usb3="00000000" w:csb0="00000001" w:csb1="00000000"/>
  </w:font>
  <w:font w:name="Univers LT Std 47 Cn Lt">
    <w:panose1 w:val="020B0406020202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50255" w14:textId="77777777" w:rsidR="00FD43EE" w:rsidRDefault="00FD43EE"/>
  <w:tbl>
    <w:tblPr>
      <w:tblW w:w="14940" w:type="dxa"/>
      <w:tblInd w:w="-432" w:type="dxa"/>
      <w:tblLook w:val="01E0" w:firstRow="1" w:lastRow="1" w:firstColumn="1" w:lastColumn="1" w:noHBand="0" w:noVBand="0"/>
    </w:tblPr>
    <w:tblGrid>
      <w:gridCol w:w="4824"/>
      <w:gridCol w:w="4392"/>
      <w:gridCol w:w="5724"/>
    </w:tblGrid>
    <w:tr w:rsidR="008616D6" w:rsidRPr="00CD401F" w14:paraId="1982DA27" w14:textId="77777777" w:rsidTr="008C5601">
      <w:tc>
        <w:tcPr>
          <w:tcW w:w="4824" w:type="dxa"/>
          <w:shd w:val="clear" w:color="auto" w:fill="auto"/>
        </w:tcPr>
        <w:p w14:paraId="51C76326" w14:textId="77777777" w:rsidR="008616D6" w:rsidRPr="00CD401F" w:rsidRDefault="00013CC9" w:rsidP="00013CC9">
          <w:pPr>
            <w:pStyle w:val="hosp-volume-no"/>
            <w:jc w:val="left"/>
            <w:rPr>
              <w:rFonts w:ascii="Univers LT Std 47 Cn Lt" w:hAnsi="Univers LT Std 47 Cn Lt"/>
              <w:szCs w:val="16"/>
            </w:rPr>
          </w:pPr>
          <w:r>
            <w:rPr>
              <w:rFonts w:ascii="Univers LT Std 47 Cn Lt" w:hAnsi="Univers LT Std 47 Cn Lt"/>
              <w:szCs w:val="16"/>
            </w:rPr>
            <w:t>January 11</w:t>
          </w:r>
          <w:r w:rsidR="00FD43EE">
            <w:rPr>
              <w:rFonts w:ascii="Univers LT Std 47 Cn Lt" w:hAnsi="Univers LT Std 47 Cn Lt"/>
              <w:szCs w:val="16"/>
            </w:rPr>
            <w:t>, 201</w:t>
          </w:r>
          <w:r>
            <w:rPr>
              <w:rFonts w:ascii="Univers LT Std 47 Cn Lt" w:hAnsi="Univers LT Std 47 Cn Lt"/>
              <w:szCs w:val="16"/>
            </w:rPr>
            <w:t>8</w:t>
          </w:r>
        </w:p>
      </w:tc>
      <w:tc>
        <w:tcPr>
          <w:tcW w:w="4392" w:type="dxa"/>
          <w:shd w:val="clear" w:color="auto" w:fill="auto"/>
        </w:tcPr>
        <w:p w14:paraId="693394B3" w14:textId="77777777" w:rsidR="008616D6" w:rsidRPr="00CD401F" w:rsidRDefault="008616D6" w:rsidP="008C5601">
          <w:pPr>
            <w:jc w:val="center"/>
            <w:rPr>
              <w:rFonts w:ascii="Univers LT Std 47 Cn Lt" w:hAnsi="Univers LT Std 47 Cn Lt"/>
              <w:sz w:val="16"/>
              <w:szCs w:val="16"/>
            </w:rPr>
          </w:pPr>
          <w:r w:rsidRPr="00CD401F">
            <w:rPr>
              <w:rFonts w:ascii="Univers LT Std 47 Cn Lt" w:hAnsi="Univers LT Std 47 Cn Lt"/>
              <w:sz w:val="16"/>
              <w:szCs w:val="16"/>
            </w:rPr>
            <w:t>ISMP MedicationSafetyAlert!</w:t>
          </w:r>
          <w:r w:rsidR="00FD43EE" w:rsidRPr="008C5601">
            <w:rPr>
              <w:rStyle w:val="Normal1"/>
              <w:rFonts w:ascii="Symbol" w:hAnsi="Symbol"/>
              <w:sz w:val="11"/>
              <w:vertAlign w:val="superscript"/>
            </w:rPr>
            <w:t></w:t>
          </w:r>
          <w:r w:rsidR="00FD43EE" w:rsidRPr="008C5601">
            <w:rPr>
              <w:rStyle w:val="Normal1"/>
              <w:rFonts w:ascii="Symbol" w:hAnsi="Symbol"/>
              <w:sz w:val="11"/>
              <w:vertAlign w:val="superscript"/>
            </w:rPr>
            <w:t></w:t>
          </w:r>
          <w:r w:rsidRPr="00CD401F">
            <w:rPr>
              <w:rFonts w:ascii="Univers LT Std 47 Cn Lt" w:hAnsi="Univers LT Std 47 Cn Lt"/>
              <w:sz w:val="16"/>
              <w:szCs w:val="16"/>
            </w:rPr>
            <w:cr/>
          </w:r>
        </w:p>
        <w:p w14:paraId="7ADC8671" w14:textId="77777777" w:rsidR="008616D6" w:rsidRPr="00CD401F" w:rsidRDefault="008616D6" w:rsidP="008C5601">
          <w:pPr>
            <w:pStyle w:val="hosp-volume-no"/>
            <w:jc w:val="right"/>
            <w:rPr>
              <w:rFonts w:ascii="Univers LT Std 47 Cn Lt" w:hAnsi="Univers LT Std 47 Cn Lt"/>
              <w:szCs w:val="16"/>
            </w:rPr>
          </w:pPr>
        </w:p>
      </w:tc>
      <w:tc>
        <w:tcPr>
          <w:tcW w:w="5724" w:type="dxa"/>
          <w:shd w:val="clear" w:color="auto" w:fill="auto"/>
        </w:tcPr>
        <w:p w14:paraId="791EA112" w14:textId="77777777" w:rsidR="008616D6" w:rsidRPr="00CD401F" w:rsidRDefault="008616D6" w:rsidP="008C5601">
          <w:pPr>
            <w:pStyle w:val="hosp-volume-no"/>
            <w:jc w:val="right"/>
            <w:rPr>
              <w:rFonts w:ascii="Univers LT Std 47 Cn Lt" w:hAnsi="Univers LT Std 47 Cn Lt"/>
              <w:szCs w:val="16"/>
            </w:rPr>
          </w:pPr>
          <w:r w:rsidRPr="00CD401F">
            <w:rPr>
              <w:rFonts w:ascii="Univers LT Std 47 Cn Lt" w:hAnsi="Univers LT Std 47 Cn Lt"/>
              <w:szCs w:val="16"/>
            </w:rPr>
            <w:t xml:space="preserve">QAA </w:t>
          </w:r>
          <w:r w:rsidRPr="00CD401F">
            <w:rPr>
              <w:rFonts w:ascii="Univers LT Std 47 Cn Lt" w:hAnsi="Univers LT Std 47 Cn Lt"/>
              <w:szCs w:val="16"/>
            </w:rPr>
            <w:fldChar w:fldCharType="begin"/>
          </w:r>
          <w:r w:rsidRPr="00CD401F">
            <w:rPr>
              <w:rFonts w:ascii="Univers LT Std 47 Cn Lt" w:hAnsi="Univers LT Std 47 Cn Lt"/>
              <w:szCs w:val="16"/>
            </w:rPr>
            <w:instrText xml:space="preserve"> PAGE </w:instrText>
          </w:r>
          <w:r w:rsidRPr="00CD401F">
            <w:rPr>
              <w:rFonts w:ascii="Univers LT Std 47 Cn Lt" w:hAnsi="Univers LT Std 47 Cn Lt"/>
              <w:szCs w:val="16"/>
            </w:rPr>
            <w:fldChar w:fldCharType="separate"/>
          </w:r>
          <w:r w:rsidR="00786D0B">
            <w:rPr>
              <w:rFonts w:ascii="Univers LT Std 47 Cn Lt" w:hAnsi="Univers LT Std 47 Cn Lt"/>
              <w:noProof/>
              <w:szCs w:val="16"/>
            </w:rPr>
            <w:t>4</w:t>
          </w:r>
          <w:r w:rsidRPr="00CD401F">
            <w:rPr>
              <w:rFonts w:ascii="Univers LT Std 47 Cn Lt" w:hAnsi="Univers LT Std 47 Cn Lt"/>
              <w:szCs w:val="16"/>
            </w:rPr>
            <w:fldChar w:fldCharType="end"/>
          </w:r>
        </w:p>
        <w:p w14:paraId="271631D7" w14:textId="77777777" w:rsidR="008616D6" w:rsidRPr="00CD401F" w:rsidRDefault="008616D6" w:rsidP="008C5601">
          <w:pPr>
            <w:pStyle w:val="hosp-volume-no"/>
            <w:jc w:val="right"/>
            <w:rPr>
              <w:rFonts w:ascii="Univers LT Std 47 Cn Lt" w:hAnsi="Univers LT Std 47 Cn Lt"/>
              <w:szCs w:val="16"/>
            </w:rPr>
          </w:pPr>
        </w:p>
      </w:tc>
    </w:tr>
  </w:tbl>
  <w:p w14:paraId="4BF7C3DD" w14:textId="77777777" w:rsidR="008616D6" w:rsidRPr="00CD401F" w:rsidRDefault="008616D6" w:rsidP="00F52484">
    <w:pPr>
      <w:pStyle w:val="hosp-volume-no"/>
      <w:jc w:val="right"/>
      <w:rPr>
        <w:rFonts w:ascii="Univers LT Std 47 Cn Lt" w:hAnsi="Univers LT Std 47 Cn Lt"/>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96424" w14:textId="77777777" w:rsidR="00B25C88" w:rsidRPr="000C417B" w:rsidRDefault="00B25C88" w:rsidP="00B25C88">
    <w:pPr>
      <w:pStyle w:val="hosp-volume-no"/>
      <w:rPr>
        <w:color w:val="000000"/>
      </w:rPr>
    </w:pPr>
  </w:p>
  <w:tbl>
    <w:tblPr>
      <w:tblW w:w="14940" w:type="dxa"/>
      <w:tblInd w:w="-432" w:type="dxa"/>
      <w:tblLook w:val="01E0" w:firstRow="1" w:lastRow="1" w:firstColumn="1" w:lastColumn="1" w:noHBand="0" w:noVBand="0"/>
    </w:tblPr>
    <w:tblGrid>
      <w:gridCol w:w="4824"/>
      <w:gridCol w:w="4392"/>
      <w:gridCol w:w="5724"/>
    </w:tblGrid>
    <w:tr w:rsidR="00B25C88" w14:paraId="44E88124" w14:textId="77777777" w:rsidTr="008C5601">
      <w:tc>
        <w:tcPr>
          <w:tcW w:w="4824" w:type="dxa"/>
          <w:shd w:val="clear" w:color="auto" w:fill="auto"/>
        </w:tcPr>
        <w:p w14:paraId="4B93A9FF" w14:textId="77777777" w:rsidR="00B25C88" w:rsidRPr="00EF1C8C" w:rsidRDefault="00EF1C8C" w:rsidP="00293E7C">
          <w:pPr>
            <w:pStyle w:val="hosp-volume-no"/>
            <w:jc w:val="left"/>
            <w:rPr>
              <w:rFonts w:ascii="Univers LT Std 47 Cn Lt" w:hAnsi="Univers LT Std 47 Cn Lt"/>
              <w:szCs w:val="16"/>
            </w:rPr>
          </w:pPr>
          <w:r>
            <w:rPr>
              <w:rFonts w:ascii="Univers LT Std 47 Cn Lt" w:hAnsi="Univers LT Std 47 Cn Lt"/>
              <w:color w:val="000000"/>
              <w:szCs w:val="16"/>
            </w:rPr>
            <w:t xml:space="preserve">January </w:t>
          </w:r>
          <w:r w:rsidR="00786D0B">
            <w:rPr>
              <w:rFonts w:ascii="Univers LT Std 47 Cn Lt" w:hAnsi="Univers LT Std 47 Cn Lt"/>
              <w:color w:val="000000"/>
              <w:szCs w:val="16"/>
            </w:rPr>
            <w:t>11</w:t>
          </w:r>
          <w:r>
            <w:rPr>
              <w:rFonts w:ascii="Univers LT Std 47 Cn Lt" w:hAnsi="Univers LT Std 47 Cn Lt"/>
              <w:color w:val="000000"/>
              <w:szCs w:val="16"/>
            </w:rPr>
            <w:t>, 201</w:t>
          </w:r>
          <w:r w:rsidR="00786D0B">
            <w:rPr>
              <w:rFonts w:ascii="Univers LT Std 47 Cn Lt" w:hAnsi="Univers LT Std 47 Cn Lt"/>
              <w:color w:val="000000"/>
              <w:szCs w:val="16"/>
            </w:rPr>
            <w:t>8</w:t>
          </w:r>
        </w:p>
      </w:tc>
      <w:tc>
        <w:tcPr>
          <w:tcW w:w="4392" w:type="dxa"/>
          <w:shd w:val="clear" w:color="auto" w:fill="auto"/>
        </w:tcPr>
        <w:p w14:paraId="7AED6B35" w14:textId="77777777" w:rsidR="00B25C88" w:rsidRPr="00EF1C8C" w:rsidRDefault="00B25C88" w:rsidP="008C5601">
          <w:pPr>
            <w:jc w:val="center"/>
            <w:rPr>
              <w:rFonts w:ascii="Univers LT Std 47 Cn Lt" w:hAnsi="Univers LT Std 47 Cn Lt"/>
              <w:sz w:val="16"/>
              <w:szCs w:val="16"/>
            </w:rPr>
          </w:pPr>
          <w:r w:rsidRPr="00EF1C8C">
            <w:rPr>
              <w:rFonts w:ascii="Univers LT Std 47 Cn Lt" w:hAnsi="Univers LT Std 47 Cn Lt"/>
              <w:position w:val="-1"/>
              <w:sz w:val="16"/>
              <w:szCs w:val="16"/>
            </w:rPr>
            <w:t>ISMP MedicationSafetyAlert!</w:t>
          </w:r>
          <w:r w:rsidR="00FD43EE" w:rsidRPr="008C5601">
            <w:rPr>
              <w:rStyle w:val="Normal1"/>
              <w:rFonts w:ascii="Symbol" w:hAnsi="Symbol"/>
              <w:sz w:val="11"/>
              <w:vertAlign w:val="superscript"/>
            </w:rPr>
            <w:t></w:t>
          </w:r>
          <w:r w:rsidR="00FD43EE" w:rsidRPr="008C5601">
            <w:rPr>
              <w:rStyle w:val="Normal1"/>
              <w:rFonts w:ascii="Symbol" w:hAnsi="Symbol"/>
              <w:sz w:val="11"/>
              <w:vertAlign w:val="superscript"/>
            </w:rPr>
            <w:t></w:t>
          </w:r>
          <w:r w:rsidRPr="00EF1C8C">
            <w:rPr>
              <w:rFonts w:ascii="Univers LT Std 47 Cn Lt" w:hAnsi="Univers LT Std 47 Cn Lt"/>
              <w:sz w:val="16"/>
              <w:szCs w:val="16"/>
            </w:rPr>
            <w:cr/>
          </w:r>
        </w:p>
        <w:p w14:paraId="0136CCB7" w14:textId="77777777" w:rsidR="00B25C88" w:rsidRPr="00EF1C8C" w:rsidRDefault="00B25C88" w:rsidP="008C5601">
          <w:pPr>
            <w:pStyle w:val="hosp-volume-no"/>
            <w:jc w:val="right"/>
            <w:rPr>
              <w:rFonts w:ascii="Univers LT Std 47 Cn Lt" w:hAnsi="Univers LT Std 47 Cn Lt"/>
              <w:szCs w:val="16"/>
            </w:rPr>
          </w:pPr>
        </w:p>
      </w:tc>
      <w:tc>
        <w:tcPr>
          <w:tcW w:w="5724" w:type="dxa"/>
          <w:shd w:val="clear" w:color="auto" w:fill="auto"/>
        </w:tcPr>
        <w:p w14:paraId="2E5830B8" w14:textId="77777777" w:rsidR="00B25C88" w:rsidRPr="00EF1C8C" w:rsidRDefault="00B25C88" w:rsidP="008C5601">
          <w:pPr>
            <w:pStyle w:val="hosp-volume-no"/>
            <w:jc w:val="right"/>
            <w:rPr>
              <w:rStyle w:val="PageNumber"/>
              <w:rFonts w:ascii="Univers LT Std 47 Cn Lt" w:hAnsi="Univers LT Std 47 Cn Lt"/>
              <w:color w:val="000000"/>
              <w:szCs w:val="16"/>
            </w:rPr>
          </w:pPr>
          <w:r w:rsidRPr="00EF1C8C">
            <w:rPr>
              <w:rFonts w:ascii="Univers LT Std 47 Cn Lt" w:hAnsi="Univers LT Std 47 Cn Lt"/>
              <w:szCs w:val="16"/>
            </w:rPr>
            <w:t xml:space="preserve">QAA </w:t>
          </w:r>
          <w:r w:rsidRPr="00EF1C8C">
            <w:rPr>
              <w:rStyle w:val="PageNumber"/>
              <w:rFonts w:ascii="Univers LT Std 47 Cn Lt" w:hAnsi="Univers LT Std 47 Cn Lt"/>
              <w:color w:val="000000"/>
              <w:szCs w:val="16"/>
            </w:rPr>
            <w:fldChar w:fldCharType="begin"/>
          </w:r>
          <w:r w:rsidRPr="00EF1C8C">
            <w:rPr>
              <w:rStyle w:val="PageNumber"/>
              <w:rFonts w:ascii="Univers LT Std 47 Cn Lt" w:hAnsi="Univers LT Std 47 Cn Lt"/>
              <w:color w:val="000000"/>
              <w:szCs w:val="16"/>
            </w:rPr>
            <w:instrText xml:space="preserve"> PAGE </w:instrText>
          </w:r>
          <w:r w:rsidRPr="00EF1C8C">
            <w:rPr>
              <w:rStyle w:val="PageNumber"/>
              <w:rFonts w:ascii="Univers LT Std 47 Cn Lt" w:hAnsi="Univers LT Std 47 Cn Lt"/>
              <w:color w:val="000000"/>
              <w:szCs w:val="16"/>
            </w:rPr>
            <w:fldChar w:fldCharType="separate"/>
          </w:r>
          <w:r w:rsidR="00786D0B">
            <w:rPr>
              <w:rStyle w:val="PageNumber"/>
              <w:rFonts w:ascii="Univers LT Std 47 Cn Lt" w:hAnsi="Univers LT Std 47 Cn Lt"/>
              <w:noProof/>
              <w:color w:val="000000"/>
              <w:szCs w:val="16"/>
            </w:rPr>
            <w:t>1</w:t>
          </w:r>
          <w:r w:rsidRPr="00EF1C8C">
            <w:rPr>
              <w:rStyle w:val="PageNumber"/>
              <w:rFonts w:ascii="Univers LT Std 47 Cn Lt" w:hAnsi="Univers LT Std 47 Cn Lt"/>
              <w:color w:val="000000"/>
              <w:szCs w:val="16"/>
            </w:rPr>
            <w:fldChar w:fldCharType="end"/>
          </w:r>
        </w:p>
        <w:p w14:paraId="0851CB14" w14:textId="77777777" w:rsidR="00B25C88" w:rsidRPr="00EF1C8C" w:rsidRDefault="00B25C88" w:rsidP="008C5601">
          <w:pPr>
            <w:pStyle w:val="hosp-volume-no"/>
            <w:jc w:val="right"/>
            <w:rPr>
              <w:rFonts w:ascii="Univers LT Std 47 Cn Lt" w:hAnsi="Univers LT Std 47 Cn Lt"/>
              <w:szCs w:val="16"/>
            </w:rPr>
          </w:pPr>
        </w:p>
      </w:tc>
    </w:tr>
  </w:tbl>
  <w:p w14:paraId="26AF0D1F" w14:textId="77777777" w:rsidR="00B25C88" w:rsidRDefault="00B25C88" w:rsidP="00B25C88">
    <w:pPr>
      <w:pStyle w:val="hosp-volume-no"/>
      <w:jc w:val="right"/>
    </w:pPr>
  </w:p>
  <w:p w14:paraId="2497218D" w14:textId="77777777" w:rsidR="008616D6" w:rsidRPr="00B25C88" w:rsidRDefault="008616D6" w:rsidP="00B25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B361C" w14:textId="77777777" w:rsidR="002E7FCE" w:rsidRDefault="002E7FCE">
      <w:r>
        <w:separator/>
      </w:r>
    </w:p>
  </w:footnote>
  <w:footnote w:type="continuationSeparator" w:id="0">
    <w:p w14:paraId="43D0B8E2" w14:textId="77777777" w:rsidR="002E7FCE" w:rsidRDefault="002E7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61EA1" w14:textId="77777777" w:rsidR="008616D6" w:rsidRPr="00326F6C" w:rsidRDefault="00326F6C" w:rsidP="00143524">
    <w:pPr>
      <w:jc w:val="center"/>
      <w:rPr>
        <w:rFonts w:ascii="Univers LT Std 57 Cn" w:hAnsi="Univers LT Std 57 Cn"/>
        <w:color w:val="999999"/>
        <w:sz w:val="18"/>
      </w:rPr>
    </w:pPr>
    <w:r w:rsidRPr="00326F6C">
      <w:rPr>
        <w:rFonts w:ascii="Univers LT Std 57 Cn" w:hAnsi="Univers LT Std 57 Cn"/>
        <w:color w:val="999999"/>
        <w:sz w:val="18"/>
      </w:rPr>
      <w:t>October – December 201</w:t>
    </w:r>
    <w:r w:rsidR="00013CC9">
      <w:rPr>
        <w:rFonts w:ascii="Univers LT Std 57 Cn" w:hAnsi="Univers LT Std 57 Cn"/>
        <w:color w:val="999999"/>
        <w:sz w:val="18"/>
      </w:rPr>
      <w:t>7</w:t>
    </w:r>
  </w:p>
  <w:p w14:paraId="6351F681" w14:textId="77777777" w:rsidR="008616D6" w:rsidRPr="00326F6C" w:rsidRDefault="008616D6" w:rsidP="0066080D">
    <w:pPr>
      <w:ind w:right="-180"/>
      <w:jc w:val="center"/>
      <w:rPr>
        <w:rFonts w:ascii="Univers LT Std 55" w:hAnsi="Univers LT Std 55"/>
        <w:b/>
        <w:color w:val="D60030"/>
        <w:position w:val="-2"/>
        <w:sz w:val="32"/>
      </w:rPr>
    </w:pPr>
    <w:r w:rsidRPr="00326F6C">
      <w:rPr>
        <w:rFonts w:ascii="Univers LT Std 55" w:hAnsi="Univers LT Std 55"/>
        <w:b/>
        <w:i/>
        <w:color w:val="D60030"/>
        <w:position w:val="-1"/>
        <w:sz w:val="20"/>
      </w:rPr>
      <w:t>ISMP</w:t>
    </w:r>
    <w:r w:rsidRPr="00326F6C">
      <w:rPr>
        <w:rFonts w:ascii="Univers LT Std 55" w:hAnsi="Univers LT Std 55"/>
        <w:b/>
        <w:color w:val="D60030"/>
        <w:position w:val="-2"/>
        <w:sz w:val="32"/>
      </w:rPr>
      <w:t xml:space="preserve"> </w:t>
    </w:r>
    <w:r w:rsidRPr="00326F6C">
      <w:rPr>
        <w:rFonts w:ascii="Univers LT Std 45 Light" w:hAnsi="Univers LT Std 45 Light"/>
        <w:color w:val="D60030"/>
        <w:position w:val="-2"/>
        <w:sz w:val="32"/>
      </w:rPr>
      <w:t>Quarterly</w:t>
    </w:r>
    <w:r w:rsidRPr="00326F6C">
      <w:rPr>
        <w:rFonts w:ascii="Univers LT Std 55" w:hAnsi="Univers LT Std 55"/>
        <w:b/>
        <w:color w:val="D60030"/>
        <w:position w:val="-2"/>
        <w:sz w:val="32"/>
      </w:rPr>
      <w:t>Action</w:t>
    </w:r>
    <w:r w:rsidRPr="00326F6C">
      <w:rPr>
        <w:rFonts w:ascii="Univers LT Std 45 Light" w:hAnsi="Univers LT Std 45 Light"/>
        <w:color w:val="D60030"/>
        <w:position w:val="-2"/>
        <w:sz w:val="32"/>
      </w:rPr>
      <w:t>Agenda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A9959" w14:textId="77777777" w:rsidR="008616D6" w:rsidRPr="00326F6C" w:rsidRDefault="00510099" w:rsidP="00D66374">
    <w:pPr>
      <w:jc w:val="center"/>
      <w:rPr>
        <w:rFonts w:ascii="Univers LT Std 57 Cn" w:hAnsi="Univers LT Std 57 Cn"/>
        <w:color w:val="999999"/>
        <w:sz w:val="18"/>
      </w:rPr>
    </w:pPr>
    <w:bookmarkStart w:id="19" w:name="OLE_LINK1"/>
    <w:bookmarkStart w:id="20" w:name="OLE_LINK2"/>
    <w:r>
      <w:rPr>
        <w:rFonts w:ascii="Univers LT Std 57 Cn" w:hAnsi="Univers LT Std 57 Cn"/>
        <w:color w:val="999999"/>
        <w:sz w:val="18"/>
      </w:rPr>
      <w:t>October – December 2017</w:t>
    </w:r>
  </w:p>
  <w:bookmarkEnd w:id="19"/>
  <w:bookmarkEnd w:id="20"/>
  <w:p w14:paraId="7AE9D8A6" w14:textId="77777777" w:rsidR="008616D6" w:rsidRPr="00326F6C" w:rsidRDefault="008616D6" w:rsidP="00975D5C">
    <w:pPr>
      <w:jc w:val="center"/>
      <w:rPr>
        <w:rFonts w:ascii="Univers LT Std 45 Light" w:hAnsi="Univers LT Std 45 Light"/>
        <w:b/>
        <w:color w:val="D60030"/>
        <w:position w:val="-2"/>
        <w:sz w:val="32"/>
      </w:rPr>
    </w:pPr>
    <w:r w:rsidRPr="00326F6C">
      <w:rPr>
        <w:rFonts w:ascii="Univers LT Std 45 Light" w:hAnsi="Univers LT Std 45 Light"/>
        <w:b/>
        <w:i/>
        <w:color w:val="D60030"/>
        <w:position w:val="-2"/>
        <w:sz w:val="34"/>
      </w:rPr>
      <w:t>ISMP</w:t>
    </w:r>
    <w:r w:rsidRPr="00326F6C">
      <w:rPr>
        <w:rFonts w:ascii="Univers LT Std 45 Light" w:hAnsi="Univers LT Std 45 Light"/>
        <w:b/>
        <w:color w:val="D60030"/>
        <w:position w:val="-3"/>
        <w:sz w:val="54"/>
      </w:rPr>
      <w:t xml:space="preserve"> </w:t>
    </w:r>
    <w:r w:rsidRPr="00326F6C">
      <w:rPr>
        <w:rFonts w:ascii="Univers LT Std 55" w:hAnsi="Univers LT Std 55"/>
        <w:color w:val="D60030"/>
        <w:position w:val="-3"/>
        <w:sz w:val="54"/>
      </w:rPr>
      <w:t>Quarterly</w:t>
    </w:r>
    <w:r w:rsidRPr="00326F6C">
      <w:rPr>
        <w:rFonts w:ascii="Univers LT Std 45 Light" w:hAnsi="Univers LT Std 45 Light"/>
        <w:b/>
        <w:color w:val="D60030"/>
        <w:position w:val="-3"/>
        <w:sz w:val="54"/>
      </w:rPr>
      <w:t>Action</w:t>
    </w:r>
    <w:r w:rsidRPr="00326F6C">
      <w:rPr>
        <w:rFonts w:ascii="Univers LT Std 45 Light" w:hAnsi="Univers LT Std 45 Light"/>
        <w:color w:val="D60030"/>
        <w:position w:val="-3"/>
        <w:sz w:val="54"/>
      </w:rPr>
      <w:t>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10FF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92A84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B647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4214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D6BF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3871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8CAF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778F1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38B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B49C4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gutterAtTop/>
  <w:activeWritingStyle w:appName="MSWord" w:lang="en-US" w:vendorID="64" w:dllVersion="6" w:nlCheck="1" w:checkStyle="1"/>
  <w:activeWritingStyle w:appName="MSWord" w:lang="en-US" w:vendorID="64" w:dllVersion="0"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9D7"/>
    <w:rsid w:val="0000263F"/>
    <w:rsid w:val="00007686"/>
    <w:rsid w:val="000136D2"/>
    <w:rsid w:val="00013CC9"/>
    <w:rsid w:val="00022EF4"/>
    <w:rsid w:val="00041291"/>
    <w:rsid w:val="0004277F"/>
    <w:rsid w:val="0004435C"/>
    <w:rsid w:val="000604BB"/>
    <w:rsid w:val="00061872"/>
    <w:rsid w:val="00064509"/>
    <w:rsid w:val="00064888"/>
    <w:rsid w:val="00065E21"/>
    <w:rsid w:val="00086CE1"/>
    <w:rsid w:val="00090643"/>
    <w:rsid w:val="00097AED"/>
    <w:rsid w:val="000B0AF6"/>
    <w:rsid w:val="000B4627"/>
    <w:rsid w:val="000B6E55"/>
    <w:rsid w:val="000C417B"/>
    <w:rsid w:val="000D05BF"/>
    <w:rsid w:val="000D4F5A"/>
    <w:rsid w:val="000E36E6"/>
    <w:rsid w:val="000E54F1"/>
    <w:rsid w:val="000E5CFA"/>
    <w:rsid w:val="00102D23"/>
    <w:rsid w:val="00107B68"/>
    <w:rsid w:val="001121F0"/>
    <w:rsid w:val="00121FA9"/>
    <w:rsid w:val="00125154"/>
    <w:rsid w:val="00136F07"/>
    <w:rsid w:val="00143524"/>
    <w:rsid w:val="001451F0"/>
    <w:rsid w:val="00147349"/>
    <w:rsid w:val="001655FA"/>
    <w:rsid w:val="00171CDF"/>
    <w:rsid w:val="001759C0"/>
    <w:rsid w:val="00175AEE"/>
    <w:rsid w:val="00181869"/>
    <w:rsid w:val="00183A13"/>
    <w:rsid w:val="00193DF7"/>
    <w:rsid w:val="001A492A"/>
    <w:rsid w:val="001B0F0B"/>
    <w:rsid w:val="001B4218"/>
    <w:rsid w:val="001C76EB"/>
    <w:rsid w:val="001D00E3"/>
    <w:rsid w:val="001D2E86"/>
    <w:rsid w:val="001E05A5"/>
    <w:rsid w:val="001E1837"/>
    <w:rsid w:val="001E4403"/>
    <w:rsid w:val="001F246B"/>
    <w:rsid w:val="001F4C4B"/>
    <w:rsid w:val="00235ABC"/>
    <w:rsid w:val="00243DFE"/>
    <w:rsid w:val="002527D2"/>
    <w:rsid w:val="00260A21"/>
    <w:rsid w:val="00282888"/>
    <w:rsid w:val="00284E42"/>
    <w:rsid w:val="00292167"/>
    <w:rsid w:val="00293E7C"/>
    <w:rsid w:val="00296DB9"/>
    <w:rsid w:val="002A432E"/>
    <w:rsid w:val="002B79E7"/>
    <w:rsid w:val="002C0BAF"/>
    <w:rsid w:val="002E16D6"/>
    <w:rsid w:val="002E7FCE"/>
    <w:rsid w:val="002F4667"/>
    <w:rsid w:val="002F520F"/>
    <w:rsid w:val="003003E2"/>
    <w:rsid w:val="00302040"/>
    <w:rsid w:val="00303113"/>
    <w:rsid w:val="00311B3C"/>
    <w:rsid w:val="00317B44"/>
    <w:rsid w:val="00320B7E"/>
    <w:rsid w:val="00326F6C"/>
    <w:rsid w:val="00330C42"/>
    <w:rsid w:val="003517AB"/>
    <w:rsid w:val="00352C0F"/>
    <w:rsid w:val="00374BE7"/>
    <w:rsid w:val="00377B07"/>
    <w:rsid w:val="0038144F"/>
    <w:rsid w:val="00391190"/>
    <w:rsid w:val="003920B6"/>
    <w:rsid w:val="003957A8"/>
    <w:rsid w:val="00397550"/>
    <w:rsid w:val="003A2BB2"/>
    <w:rsid w:val="003C0364"/>
    <w:rsid w:val="003C0D38"/>
    <w:rsid w:val="003D000D"/>
    <w:rsid w:val="003D105E"/>
    <w:rsid w:val="003E7BFC"/>
    <w:rsid w:val="004129D0"/>
    <w:rsid w:val="00413B0D"/>
    <w:rsid w:val="00421987"/>
    <w:rsid w:val="00422005"/>
    <w:rsid w:val="004238F8"/>
    <w:rsid w:val="00427B70"/>
    <w:rsid w:val="00434F86"/>
    <w:rsid w:val="00446E8F"/>
    <w:rsid w:val="00450B0C"/>
    <w:rsid w:val="0046245C"/>
    <w:rsid w:val="00473B6D"/>
    <w:rsid w:val="00474A5F"/>
    <w:rsid w:val="00476A59"/>
    <w:rsid w:val="00481F29"/>
    <w:rsid w:val="00482777"/>
    <w:rsid w:val="004847A3"/>
    <w:rsid w:val="00491DD2"/>
    <w:rsid w:val="00491E67"/>
    <w:rsid w:val="0049572E"/>
    <w:rsid w:val="004A0A0F"/>
    <w:rsid w:val="004A5A50"/>
    <w:rsid w:val="004A716E"/>
    <w:rsid w:val="004B0130"/>
    <w:rsid w:val="004B09A4"/>
    <w:rsid w:val="004B29BE"/>
    <w:rsid w:val="004B309D"/>
    <w:rsid w:val="004C4A63"/>
    <w:rsid w:val="004C79A5"/>
    <w:rsid w:val="004E5B3C"/>
    <w:rsid w:val="004F0D06"/>
    <w:rsid w:val="00502537"/>
    <w:rsid w:val="00503C5E"/>
    <w:rsid w:val="0050693E"/>
    <w:rsid w:val="00510080"/>
    <w:rsid w:val="00510099"/>
    <w:rsid w:val="005226C7"/>
    <w:rsid w:val="00526783"/>
    <w:rsid w:val="00533376"/>
    <w:rsid w:val="00560123"/>
    <w:rsid w:val="0056132C"/>
    <w:rsid w:val="00563CCC"/>
    <w:rsid w:val="005755AB"/>
    <w:rsid w:val="00577684"/>
    <w:rsid w:val="00583355"/>
    <w:rsid w:val="005867BF"/>
    <w:rsid w:val="005A57EA"/>
    <w:rsid w:val="005B24A2"/>
    <w:rsid w:val="005B2CAD"/>
    <w:rsid w:val="005B3723"/>
    <w:rsid w:val="005C016C"/>
    <w:rsid w:val="005D2A75"/>
    <w:rsid w:val="005E73C8"/>
    <w:rsid w:val="005E790A"/>
    <w:rsid w:val="006009B5"/>
    <w:rsid w:val="00600C47"/>
    <w:rsid w:val="00623B18"/>
    <w:rsid w:val="006314AA"/>
    <w:rsid w:val="0063283A"/>
    <w:rsid w:val="00634B19"/>
    <w:rsid w:val="00646C5C"/>
    <w:rsid w:val="0066080D"/>
    <w:rsid w:val="006630A4"/>
    <w:rsid w:val="0067274F"/>
    <w:rsid w:val="00684D1E"/>
    <w:rsid w:val="00685901"/>
    <w:rsid w:val="006A05FD"/>
    <w:rsid w:val="006B0563"/>
    <w:rsid w:val="006C0394"/>
    <w:rsid w:val="006C1155"/>
    <w:rsid w:val="006C39CF"/>
    <w:rsid w:val="006D0AC2"/>
    <w:rsid w:val="006D1340"/>
    <w:rsid w:val="006D13E9"/>
    <w:rsid w:val="006D5489"/>
    <w:rsid w:val="006D671A"/>
    <w:rsid w:val="006E3B88"/>
    <w:rsid w:val="006E656E"/>
    <w:rsid w:val="006E6DD0"/>
    <w:rsid w:val="006F0B2B"/>
    <w:rsid w:val="006F4DF2"/>
    <w:rsid w:val="006F6697"/>
    <w:rsid w:val="007020A9"/>
    <w:rsid w:val="00706174"/>
    <w:rsid w:val="007142CD"/>
    <w:rsid w:val="0071495C"/>
    <w:rsid w:val="00720867"/>
    <w:rsid w:val="00721D8F"/>
    <w:rsid w:val="0072480E"/>
    <w:rsid w:val="007266B9"/>
    <w:rsid w:val="0072762E"/>
    <w:rsid w:val="00734609"/>
    <w:rsid w:val="007419DE"/>
    <w:rsid w:val="0075586D"/>
    <w:rsid w:val="00757D59"/>
    <w:rsid w:val="00761130"/>
    <w:rsid w:val="00763821"/>
    <w:rsid w:val="00784614"/>
    <w:rsid w:val="00786D0B"/>
    <w:rsid w:val="0078775E"/>
    <w:rsid w:val="00787925"/>
    <w:rsid w:val="0079346C"/>
    <w:rsid w:val="00797B8B"/>
    <w:rsid w:val="007A3331"/>
    <w:rsid w:val="007A3DF7"/>
    <w:rsid w:val="007B3E30"/>
    <w:rsid w:val="007C295F"/>
    <w:rsid w:val="007C5952"/>
    <w:rsid w:val="007E4305"/>
    <w:rsid w:val="007E6149"/>
    <w:rsid w:val="007F1916"/>
    <w:rsid w:val="007F3754"/>
    <w:rsid w:val="007F6FE5"/>
    <w:rsid w:val="007F7AE7"/>
    <w:rsid w:val="008219D3"/>
    <w:rsid w:val="00822244"/>
    <w:rsid w:val="0082558E"/>
    <w:rsid w:val="008279B2"/>
    <w:rsid w:val="00830ED3"/>
    <w:rsid w:val="00830F6C"/>
    <w:rsid w:val="008616D6"/>
    <w:rsid w:val="008712E1"/>
    <w:rsid w:val="008746DC"/>
    <w:rsid w:val="00880D47"/>
    <w:rsid w:val="0089012D"/>
    <w:rsid w:val="00892D86"/>
    <w:rsid w:val="00893CF3"/>
    <w:rsid w:val="00897440"/>
    <w:rsid w:val="00897E07"/>
    <w:rsid w:val="008B248A"/>
    <w:rsid w:val="008C06DD"/>
    <w:rsid w:val="008C4BCC"/>
    <w:rsid w:val="008C4CFB"/>
    <w:rsid w:val="008C5601"/>
    <w:rsid w:val="008D081B"/>
    <w:rsid w:val="008D17CC"/>
    <w:rsid w:val="008D39F5"/>
    <w:rsid w:val="008D7CCF"/>
    <w:rsid w:val="008E38BF"/>
    <w:rsid w:val="008E77D1"/>
    <w:rsid w:val="008F7288"/>
    <w:rsid w:val="00905278"/>
    <w:rsid w:val="00915704"/>
    <w:rsid w:val="009249FE"/>
    <w:rsid w:val="00927C99"/>
    <w:rsid w:val="00930886"/>
    <w:rsid w:val="009447B1"/>
    <w:rsid w:val="009459E4"/>
    <w:rsid w:val="00952132"/>
    <w:rsid w:val="0096106F"/>
    <w:rsid w:val="00966C3E"/>
    <w:rsid w:val="00971EF2"/>
    <w:rsid w:val="009747A4"/>
    <w:rsid w:val="00975D5C"/>
    <w:rsid w:val="00977CAA"/>
    <w:rsid w:val="009A1561"/>
    <w:rsid w:val="009A59FA"/>
    <w:rsid w:val="009A76D2"/>
    <w:rsid w:val="009C284F"/>
    <w:rsid w:val="009E1870"/>
    <w:rsid w:val="009F5965"/>
    <w:rsid w:val="009F5FB8"/>
    <w:rsid w:val="009F7439"/>
    <w:rsid w:val="00A02ECF"/>
    <w:rsid w:val="00A0309D"/>
    <w:rsid w:val="00A107FA"/>
    <w:rsid w:val="00A30BF2"/>
    <w:rsid w:val="00A32D65"/>
    <w:rsid w:val="00A41E36"/>
    <w:rsid w:val="00A53FFE"/>
    <w:rsid w:val="00A5481A"/>
    <w:rsid w:val="00A61736"/>
    <w:rsid w:val="00A620BD"/>
    <w:rsid w:val="00A646DB"/>
    <w:rsid w:val="00A6494A"/>
    <w:rsid w:val="00A65BFF"/>
    <w:rsid w:val="00A66F76"/>
    <w:rsid w:val="00A6798F"/>
    <w:rsid w:val="00A7297D"/>
    <w:rsid w:val="00A81AFD"/>
    <w:rsid w:val="00A84C70"/>
    <w:rsid w:val="00A95C98"/>
    <w:rsid w:val="00AD5382"/>
    <w:rsid w:val="00AE4ABA"/>
    <w:rsid w:val="00AF213F"/>
    <w:rsid w:val="00AF29B5"/>
    <w:rsid w:val="00B201FC"/>
    <w:rsid w:val="00B25C88"/>
    <w:rsid w:val="00B64247"/>
    <w:rsid w:val="00B722C2"/>
    <w:rsid w:val="00B7509C"/>
    <w:rsid w:val="00B81EEF"/>
    <w:rsid w:val="00BA340E"/>
    <w:rsid w:val="00BB0667"/>
    <w:rsid w:val="00BC711F"/>
    <w:rsid w:val="00BE2252"/>
    <w:rsid w:val="00BF6076"/>
    <w:rsid w:val="00C02132"/>
    <w:rsid w:val="00C1299F"/>
    <w:rsid w:val="00C1505F"/>
    <w:rsid w:val="00C15944"/>
    <w:rsid w:val="00C3004B"/>
    <w:rsid w:val="00C301D5"/>
    <w:rsid w:val="00C40A3A"/>
    <w:rsid w:val="00C43829"/>
    <w:rsid w:val="00C44915"/>
    <w:rsid w:val="00C5096F"/>
    <w:rsid w:val="00C56E2D"/>
    <w:rsid w:val="00C67F47"/>
    <w:rsid w:val="00C74DB6"/>
    <w:rsid w:val="00C80DC7"/>
    <w:rsid w:val="00C84627"/>
    <w:rsid w:val="00C963CD"/>
    <w:rsid w:val="00CB0213"/>
    <w:rsid w:val="00CB5ECF"/>
    <w:rsid w:val="00CB7905"/>
    <w:rsid w:val="00CC1137"/>
    <w:rsid w:val="00CC1812"/>
    <w:rsid w:val="00CC7533"/>
    <w:rsid w:val="00CC7FC5"/>
    <w:rsid w:val="00CD401F"/>
    <w:rsid w:val="00CD49D7"/>
    <w:rsid w:val="00CD50BA"/>
    <w:rsid w:val="00CF6895"/>
    <w:rsid w:val="00D0668D"/>
    <w:rsid w:val="00D115DD"/>
    <w:rsid w:val="00D2269C"/>
    <w:rsid w:val="00D265BB"/>
    <w:rsid w:val="00D5110F"/>
    <w:rsid w:val="00D5324B"/>
    <w:rsid w:val="00D66374"/>
    <w:rsid w:val="00D84E5E"/>
    <w:rsid w:val="00D96759"/>
    <w:rsid w:val="00D969B6"/>
    <w:rsid w:val="00DA52FA"/>
    <w:rsid w:val="00DB0EA0"/>
    <w:rsid w:val="00DB2E0D"/>
    <w:rsid w:val="00DB58A5"/>
    <w:rsid w:val="00DE3C6E"/>
    <w:rsid w:val="00DE5A6B"/>
    <w:rsid w:val="00DE62D1"/>
    <w:rsid w:val="00DE77D2"/>
    <w:rsid w:val="00DF38FA"/>
    <w:rsid w:val="00DF45D1"/>
    <w:rsid w:val="00E02C58"/>
    <w:rsid w:val="00E138BE"/>
    <w:rsid w:val="00E20F27"/>
    <w:rsid w:val="00E27F99"/>
    <w:rsid w:val="00E325CF"/>
    <w:rsid w:val="00E4096B"/>
    <w:rsid w:val="00E47C31"/>
    <w:rsid w:val="00E512B3"/>
    <w:rsid w:val="00E66879"/>
    <w:rsid w:val="00E81452"/>
    <w:rsid w:val="00E856E5"/>
    <w:rsid w:val="00E872FA"/>
    <w:rsid w:val="00E91CB5"/>
    <w:rsid w:val="00EA4612"/>
    <w:rsid w:val="00EA5888"/>
    <w:rsid w:val="00EA5B96"/>
    <w:rsid w:val="00EC0343"/>
    <w:rsid w:val="00EC214F"/>
    <w:rsid w:val="00EC2382"/>
    <w:rsid w:val="00ED7DDF"/>
    <w:rsid w:val="00EE4F9F"/>
    <w:rsid w:val="00EF0933"/>
    <w:rsid w:val="00EF1C8C"/>
    <w:rsid w:val="00EF58E6"/>
    <w:rsid w:val="00F003F7"/>
    <w:rsid w:val="00F25E6B"/>
    <w:rsid w:val="00F31092"/>
    <w:rsid w:val="00F409DB"/>
    <w:rsid w:val="00F41A79"/>
    <w:rsid w:val="00F435C0"/>
    <w:rsid w:val="00F52484"/>
    <w:rsid w:val="00F53E84"/>
    <w:rsid w:val="00F63EBC"/>
    <w:rsid w:val="00F71090"/>
    <w:rsid w:val="00F73AF8"/>
    <w:rsid w:val="00F8736B"/>
    <w:rsid w:val="00F901ED"/>
    <w:rsid w:val="00F95EC3"/>
    <w:rsid w:val="00FA1540"/>
    <w:rsid w:val="00FA3D62"/>
    <w:rsid w:val="00FB06DE"/>
    <w:rsid w:val="00FB2CD6"/>
    <w:rsid w:val="00FC136F"/>
    <w:rsid w:val="00FC340D"/>
    <w:rsid w:val="00FD43EE"/>
    <w:rsid w:val="00FE2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7E57DC"/>
  <w15:docId w15:val="{4FB778ED-9744-4FD7-9FB8-1F8B655BD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119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ED7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locked/>
    <w:rsid w:val="00097AED"/>
    <w:rPr>
      <w:i/>
      <w:iCs/>
    </w:rPr>
  </w:style>
  <w:style w:type="paragraph" w:customStyle="1" w:styleId="AC-table-hed">
    <w:name w:val="AC-table-hed"/>
    <w:locked/>
    <w:rsid w:val="00763821"/>
    <w:pPr>
      <w:tabs>
        <w:tab w:val="center" w:pos="5735"/>
        <w:tab w:val="center" w:pos="7906"/>
        <w:tab w:val="center" w:pos="10080"/>
      </w:tabs>
      <w:spacing w:line="200" w:lineRule="exact"/>
    </w:pPr>
    <w:rPr>
      <w:rFonts w:ascii="Akzidenz Grotesk BE BoldEx" w:hAnsi="Akzidenz Grotesk BE BoldEx"/>
      <w:sz w:val="19"/>
    </w:rPr>
  </w:style>
  <w:style w:type="paragraph" w:customStyle="1" w:styleId="AC-table-body">
    <w:name w:val="AC-table-body"/>
    <w:qFormat/>
    <w:rsid w:val="00763821"/>
    <w:pPr>
      <w:tabs>
        <w:tab w:val="center" w:pos="5735"/>
        <w:tab w:val="center" w:pos="7906"/>
        <w:tab w:val="center" w:pos="10080"/>
      </w:tabs>
      <w:spacing w:line="240" w:lineRule="exact"/>
    </w:pPr>
    <w:rPr>
      <w:rFonts w:ascii="Akzidenz Grotesk BE Cn" w:hAnsi="Akzidenz Grotesk BE Cn"/>
    </w:rPr>
  </w:style>
  <w:style w:type="paragraph" w:customStyle="1" w:styleId="Acutecare-new-agenda-hed">
    <w:name w:val="Acutecare-new-agenda-hed"/>
    <w:qFormat/>
    <w:locked/>
    <w:rsid w:val="003D105E"/>
    <w:pPr>
      <w:tabs>
        <w:tab w:val="center" w:pos="5735"/>
        <w:tab w:val="center" w:pos="7906"/>
        <w:tab w:val="center" w:pos="10080"/>
      </w:tabs>
      <w:jc w:val="center"/>
    </w:pPr>
    <w:rPr>
      <w:rFonts w:ascii="Akzidenz Grotesk BE BoldEx" w:hAnsi="Akzidenz Grotesk BE BoldEx"/>
      <w:w w:val="90"/>
      <w:sz w:val="19"/>
    </w:rPr>
  </w:style>
  <w:style w:type="paragraph" w:customStyle="1" w:styleId="StyleAC-table-hed85ptWhiteCentered">
    <w:name w:val="Style AC-table-hed + 8.5 pt White Centered"/>
    <w:basedOn w:val="AC-table-hed"/>
    <w:locked/>
    <w:rsid w:val="00DF45D1"/>
    <w:pPr>
      <w:spacing w:before="20"/>
      <w:jc w:val="center"/>
    </w:pPr>
    <w:rPr>
      <w:color w:val="FFFFFF"/>
      <w:sz w:val="17"/>
    </w:rPr>
  </w:style>
  <w:style w:type="paragraph" w:styleId="Header">
    <w:name w:val="header"/>
    <w:basedOn w:val="Normal"/>
    <w:locked/>
    <w:rsid w:val="008D7CCF"/>
    <w:pPr>
      <w:tabs>
        <w:tab w:val="center" w:pos="4320"/>
        <w:tab w:val="right" w:pos="8640"/>
      </w:tabs>
    </w:pPr>
  </w:style>
  <w:style w:type="paragraph" w:styleId="Footer">
    <w:name w:val="footer"/>
    <w:basedOn w:val="Normal"/>
    <w:locked/>
    <w:rsid w:val="008D7CCF"/>
    <w:pPr>
      <w:tabs>
        <w:tab w:val="center" w:pos="4320"/>
        <w:tab w:val="right" w:pos="8640"/>
      </w:tabs>
    </w:pPr>
  </w:style>
  <w:style w:type="paragraph" w:customStyle="1" w:styleId="hosp-volume-no">
    <w:name w:val="hosp-volume-no."/>
    <w:locked/>
    <w:rsid w:val="008D7CCF"/>
    <w:pPr>
      <w:jc w:val="both"/>
    </w:pPr>
    <w:rPr>
      <w:rFonts w:ascii="Akzidenz Grotesk BE Light" w:hAnsi="Akzidenz Grotesk BE Light"/>
      <w:sz w:val="16"/>
    </w:rPr>
  </w:style>
  <w:style w:type="character" w:styleId="PageNumber">
    <w:name w:val="page number"/>
    <w:basedOn w:val="DefaultParagraphFont"/>
    <w:locked/>
    <w:rsid w:val="008D7CCF"/>
  </w:style>
  <w:style w:type="character" w:customStyle="1" w:styleId="Normal1">
    <w:name w:val="Normal1"/>
    <w:locked/>
    <w:rsid w:val="00B201FC"/>
    <w:rPr>
      <w:rFonts w:ascii="Arial" w:hAnsi="Arial"/>
      <w:sz w:val="24"/>
    </w:rPr>
  </w:style>
  <w:style w:type="character" w:customStyle="1" w:styleId="safety-B-url">
    <w:name w:val="safety-B-url"/>
    <w:locked/>
    <w:rsid w:val="00C43829"/>
    <w:rPr>
      <w:rFonts w:ascii="Akzidenz Grotesk BE Cn" w:hAnsi="Akzidenz Grotesk BE Cn"/>
      <w:color w:val="0C419A"/>
      <w:spacing w:val="0"/>
      <w:sz w:val="20"/>
      <w:u w:val="single"/>
    </w:rPr>
  </w:style>
  <w:style w:type="character" w:styleId="Hyperlink">
    <w:name w:val="Hyperlink"/>
    <w:locked/>
    <w:rsid w:val="00A5481A"/>
    <w:rPr>
      <w:color w:val="0000FF"/>
      <w:u w:val="single"/>
    </w:rPr>
  </w:style>
  <w:style w:type="paragraph" w:customStyle="1" w:styleId="Style1">
    <w:name w:val="Style1"/>
    <w:basedOn w:val="Acutecare-new-agenda-hed"/>
    <w:rsid w:val="00B81EEF"/>
    <w:rPr>
      <w:sz w:val="18"/>
    </w:rPr>
  </w:style>
  <w:style w:type="paragraph" w:styleId="BalloonText">
    <w:name w:val="Balloon Text"/>
    <w:basedOn w:val="Normal"/>
    <w:link w:val="BalloonTextChar"/>
    <w:locked/>
    <w:rsid w:val="009F5FB8"/>
    <w:rPr>
      <w:rFonts w:ascii="Tahoma" w:hAnsi="Tahoma" w:cs="Tahoma"/>
      <w:sz w:val="16"/>
      <w:szCs w:val="16"/>
    </w:rPr>
  </w:style>
  <w:style w:type="character" w:customStyle="1" w:styleId="BalloonTextChar">
    <w:name w:val="Balloon Text Char"/>
    <w:basedOn w:val="DefaultParagraphFont"/>
    <w:link w:val="BalloonText"/>
    <w:rsid w:val="009F5FB8"/>
    <w:rPr>
      <w:rFonts w:ascii="Tahoma" w:hAnsi="Tahoma" w:cs="Tahoma"/>
      <w:sz w:val="16"/>
      <w:szCs w:val="16"/>
    </w:rPr>
  </w:style>
  <w:style w:type="paragraph" w:customStyle="1" w:styleId="AGENDA-body">
    <w:name w:val="AGENDA-body"/>
    <w:qFormat/>
    <w:rsid w:val="00491DD2"/>
    <w:pPr>
      <w:tabs>
        <w:tab w:val="center" w:pos="5735"/>
        <w:tab w:val="center" w:pos="7906"/>
        <w:tab w:val="center" w:pos="10080"/>
      </w:tabs>
      <w:spacing w:line="240" w:lineRule="exact"/>
      <w:textAlignment w:val="baseline"/>
    </w:pPr>
    <w:rPr>
      <w:rFonts w:ascii="Univers LT Std 57 Cn" w:eastAsia="Univers LT Std 57 Cn" w:hAnsi="Univers LT Std 57 Cn" w:cs="Univers LT Std 57 Cn"/>
      <w:color w:val="262526"/>
      <w:spacing w:val="-5"/>
      <w:w w:val="99"/>
      <w:lang w:bidi="en-US"/>
    </w:rPr>
  </w:style>
  <w:style w:type="paragraph" w:customStyle="1" w:styleId="AGENDA-table-titles">
    <w:name w:val="AGENDA-table-titles"/>
    <w:qFormat/>
    <w:rsid w:val="00526783"/>
    <w:pPr>
      <w:tabs>
        <w:tab w:val="center" w:pos="5735"/>
        <w:tab w:val="center" w:pos="7906"/>
        <w:tab w:val="center" w:pos="10080"/>
      </w:tabs>
      <w:spacing w:line="200" w:lineRule="exact"/>
      <w:jc w:val="center"/>
      <w:textAlignment w:val="baseline"/>
    </w:pPr>
    <w:rPr>
      <w:rFonts w:ascii="Univers LT Std 55" w:eastAsia="Univers LT Std 55" w:hAnsi="Univers LT Std 55" w:cs="Univers LT Std 55"/>
      <w:b/>
      <w:color w:val="262526"/>
      <w:spacing w:val="-1"/>
      <w:w w:val="89"/>
      <w:sz w:val="19"/>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63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ISMP\ISMP-nl\ismp-acutecare-NL\templates-lib\ActionAgenda13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669FA9011CB4241BCE9FB143DFC7D87" ma:contentTypeVersion="8" ma:contentTypeDescription="Create a new document." ma:contentTypeScope="" ma:versionID="e37dc911dc5243bbe578da0330f24950">
  <xsd:schema xmlns:xsd="http://www.w3.org/2001/XMLSchema" xmlns:xs="http://www.w3.org/2001/XMLSchema" xmlns:p="http://schemas.microsoft.com/office/2006/metadata/properties" xmlns:ns2="15b9b306-a27a-47a5-95ee-23e6b8cd343e" xmlns:ns3="9d419ed9-10ab-41c6-a5a9-ae073a0ae28f" targetNamespace="http://schemas.microsoft.com/office/2006/metadata/properties" ma:root="true" ma:fieldsID="7637480e4758b178beb448a124b5e96a" ns2:_="" ns3:_="">
    <xsd:import namespace="15b9b306-a27a-47a5-95ee-23e6b8cd343e"/>
    <xsd:import namespace="9d419ed9-10ab-41c6-a5a9-ae073a0ae2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9b306-a27a-47a5-95ee-23e6b8cd34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419ed9-10ab-41c6-a5a9-ae073a0ae2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528B83-265F-4D46-A2A5-AFA8BC8439FC}">
  <ds:schemaRefs>
    <ds:schemaRef ds:uri="http://schemas.openxmlformats.org/officeDocument/2006/bibliography"/>
  </ds:schemaRefs>
</ds:datastoreItem>
</file>

<file path=customXml/itemProps2.xml><?xml version="1.0" encoding="utf-8"?>
<ds:datastoreItem xmlns:ds="http://schemas.openxmlformats.org/officeDocument/2006/customXml" ds:itemID="{BB4F39B8-9348-4452-B655-A3CD0F65544C}"/>
</file>

<file path=customXml/itemProps3.xml><?xml version="1.0" encoding="utf-8"?>
<ds:datastoreItem xmlns:ds="http://schemas.openxmlformats.org/officeDocument/2006/customXml" ds:itemID="{C6B3412E-8238-43B5-8416-54D099E68E29}"/>
</file>

<file path=customXml/itemProps4.xml><?xml version="1.0" encoding="utf-8"?>
<ds:datastoreItem xmlns:ds="http://schemas.openxmlformats.org/officeDocument/2006/customXml" ds:itemID="{D072869B-41CD-4403-9B08-D0B5CE2F23AD}"/>
</file>

<file path=docProps/app.xml><?xml version="1.0" encoding="utf-8"?>
<Properties xmlns="http://schemas.openxmlformats.org/officeDocument/2006/extended-properties" xmlns:vt="http://schemas.openxmlformats.org/officeDocument/2006/docPropsVTypes">
  <Template>ActionAgenda1304.dotx</Template>
  <TotalTime>1</TotalTime>
  <Pages>4</Pages>
  <Words>1643</Words>
  <Characters>9371</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ISMP Medication Safety Alert</vt:lpstr>
    </vt:vector>
  </TitlesOfParts>
  <Company>ISMP</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ISMP Medication Safety Alert</dc:title>
  <dc:creator>bob</dc:creator>
  <cp:lastModifiedBy>Ann Shastay</cp:lastModifiedBy>
  <cp:revision>2</cp:revision>
  <cp:lastPrinted>2006-07-27T04:12:00Z</cp:lastPrinted>
  <dcterms:created xsi:type="dcterms:W3CDTF">2018-01-11T13:05:00Z</dcterms:created>
  <dcterms:modified xsi:type="dcterms:W3CDTF">2018-01-11T13:05:00Z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0x0101009669FA9011CB4241BCE9FB143DFC7D87</vt:lpwstr>
  </property>
</Properties>
</file>